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13F" w:rsidRPr="000B2DCE" w:rsidRDefault="0027113F" w:rsidP="0027113F">
      <w:pPr>
        <w:widowControl w:val="0"/>
        <w:spacing w:line="240" w:lineRule="auto"/>
        <w:ind w:right="1"/>
        <w:jc w:val="center"/>
        <w:rPr>
          <w:rFonts w:ascii="Arial" w:eastAsia="Times New Roman" w:hAnsi="Arial"/>
          <w:color w:val="008000"/>
          <w:sz w:val="28"/>
          <w:szCs w:val="20"/>
          <w:lang w:val="fr-FR" w:eastAsia="zh-CN"/>
        </w:rPr>
      </w:pPr>
      <w:r w:rsidRPr="000B2DCE">
        <w:rPr>
          <w:rFonts w:ascii="Arial" w:eastAsia="Times New Roman" w:hAnsi="Arial"/>
          <w:b/>
          <w:color w:val="008000"/>
          <w:sz w:val="48"/>
          <w:szCs w:val="20"/>
          <w:lang w:val="fr-FR" w:eastAsia="zh-CN"/>
        </w:rPr>
        <w:t>CIPAC</w:t>
      </w:r>
    </w:p>
    <w:p w:rsidR="0027113F" w:rsidRPr="000B2DCE" w:rsidRDefault="0027113F" w:rsidP="0027113F">
      <w:pPr>
        <w:widowControl w:val="0"/>
        <w:spacing w:line="240" w:lineRule="auto"/>
        <w:jc w:val="center"/>
        <w:rPr>
          <w:rFonts w:ascii="Arial" w:eastAsia="Times New Roman" w:hAnsi="Arial"/>
          <w:sz w:val="28"/>
          <w:szCs w:val="20"/>
          <w:lang w:val="fr-FR" w:eastAsia="zh-CN"/>
        </w:rPr>
      </w:pPr>
    </w:p>
    <w:p w:rsidR="0027113F" w:rsidRPr="000B2DCE" w:rsidRDefault="0027113F" w:rsidP="0027113F">
      <w:pPr>
        <w:widowControl w:val="0"/>
        <w:spacing w:line="240" w:lineRule="auto"/>
        <w:jc w:val="center"/>
        <w:rPr>
          <w:rFonts w:ascii="Arial" w:eastAsia="Times New Roman" w:hAnsi="Arial"/>
          <w:sz w:val="28"/>
          <w:szCs w:val="20"/>
          <w:lang w:val="fr-FR" w:eastAsia="zh-CN"/>
        </w:rPr>
      </w:pPr>
      <w:r w:rsidRPr="000B2DCE">
        <w:rPr>
          <w:rFonts w:ascii="Arial" w:eastAsia="Times New Roman" w:hAnsi="Arial"/>
          <w:sz w:val="24"/>
          <w:szCs w:val="20"/>
          <w:lang w:val="fr-FR" w:eastAsia="zh-CN"/>
        </w:rPr>
        <w:t>COLLABORATIVE INTERNATIONAL PESTICIDES ANALYTICAL COUNCIL LIMITED</w:t>
      </w:r>
    </w:p>
    <w:p w:rsidR="0027113F" w:rsidRPr="000B2DCE" w:rsidRDefault="0027113F" w:rsidP="0027113F">
      <w:pPr>
        <w:widowControl w:val="0"/>
        <w:spacing w:line="240" w:lineRule="auto"/>
        <w:jc w:val="both"/>
        <w:rPr>
          <w:rFonts w:ascii="Arial" w:eastAsia="Times New Roman" w:hAnsi="Arial"/>
          <w:sz w:val="24"/>
          <w:szCs w:val="20"/>
          <w:lang w:val="fr-FR" w:eastAsia="zh-CN"/>
        </w:rPr>
      </w:pPr>
    </w:p>
    <w:p w:rsidR="0027113F" w:rsidRPr="000B2DCE" w:rsidRDefault="0027113F" w:rsidP="0027113F">
      <w:pPr>
        <w:widowControl w:val="0"/>
        <w:spacing w:line="240" w:lineRule="auto"/>
        <w:jc w:val="center"/>
        <w:rPr>
          <w:rFonts w:ascii="Arial" w:eastAsia="Times New Roman" w:hAnsi="Arial"/>
          <w:sz w:val="24"/>
          <w:szCs w:val="20"/>
          <w:lang w:val="fr-FR" w:eastAsia="zh-CN"/>
        </w:rPr>
      </w:pPr>
      <w:r w:rsidRPr="000B2DCE">
        <w:rPr>
          <w:rFonts w:ascii="Arial" w:eastAsia="Times New Roman" w:hAnsi="Arial"/>
          <w:sz w:val="24"/>
          <w:szCs w:val="20"/>
          <w:lang w:val="fr-FR" w:eastAsia="zh-CN"/>
        </w:rPr>
        <w:t>Commission Internationale des Méthodes d'Analyse des Pesticides (CIMAP)</w:t>
      </w:r>
    </w:p>
    <w:p w:rsidR="0027113F" w:rsidRPr="000B2DCE" w:rsidRDefault="0027113F" w:rsidP="0027113F">
      <w:pPr>
        <w:widowControl w:val="0"/>
        <w:spacing w:line="240" w:lineRule="auto"/>
        <w:rPr>
          <w:rFonts w:eastAsia="Times New Roman"/>
          <w:sz w:val="24"/>
          <w:szCs w:val="20"/>
          <w:lang w:val="fr-FR" w:eastAsia="zh-CN"/>
        </w:rPr>
      </w:pPr>
    </w:p>
    <w:p w:rsidR="0027113F" w:rsidRPr="000B2DCE" w:rsidRDefault="0027113F" w:rsidP="0027113F">
      <w:pPr>
        <w:widowControl w:val="0"/>
        <w:spacing w:line="240" w:lineRule="auto"/>
        <w:rPr>
          <w:rFonts w:eastAsia="Times New Roman"/>
          <w:sz w:val="24"/>
          <w:szCs w:val="20"/>
          <w:lang w:val="fr-FR" w:eastAsia="zh-CN"/>
        </w:rPr>
      </w:pPr>
    </w:p>
    <w:p w:rsidR="0027113F" w:rsidRPr="000B2DCE" w:rsidRDefault="0027113F" w:rsidP="0027113F">
      <w:pPr>
        <w:widowControl w:val="0"/>
        <w:autoSpaceDE w:val="0"/>
        <w:autoSpaceDN w:val="0"/>
        <w:adjustRightInd w:val="0"/>
        <w:spacing w:line="240" w:lineRule="auto"/>
        <w:rPr>
          <w:rFonts w:ascii="Arial" w:eastAsia="Times New Roman" w:hAnsi="Arial" w:cs="Arial"/>
          <w:b/>
          <w:sz w:val="24"/>
          <w:szCs w:val="24"/>
          <w:lang w:val="en-GB" w:eastAsia="de-DE"/>
        </w:rPr>
      </w:pPr>
      <w:r w:rsidRPr="000B2DCE">
        <w:rPr>
          <w:rFonts w:ascii="Arial" w:eastAsia="Times New Roman" w:hAnsi="Arial" w:cs="Arial"/>
          <w:b/>
          <w:sz w:val="24"/>
          <w:szCs w:val="24"/>
          <w:lang w:val="en-GB" w:eastAsia="de-DE"/>
        </w:rPr>
        <w:t xml:space="preserve">CIPAC </w:t>
      </w:r>
      <w:proofErr w:type="spellStart"/>
      <w:r w:rsidRPr="000B2DCE">
        <w:rPr>
          <w:rFonts w:ascii="Arial" w:eastAsia="Times New Roman" w:hAnsi="Arial" w:cs="Arial"/>
          <w:b/>
          <w:sz w:val="24"/>
          <w:szCs w:val="24"/>
          <w:lang w:val="en-GB" w:eastAsia="de-DE"/>
        </w:rPr>
        <w:t>Prepublished</w:t>
      </w:r>
      <w:proofErr w:type="spellEnd"/>
      <w:r w:rsidRPr="000B2DCE">
        <w:rPr>
          <w:rFonts w:ascii="Arial" w:eastAsia="Times New Roman" w:hAnsi="Arial" w:cs="Arial"/>
          <w:b/>
          <w:sz w:val="24"/>
          <w:szCs w:val="24"/>
          <w:lang w:val="en-GB" w:eastAsia="de-DE"/>
        </w:rPr>
        <w:t xml:space="preserve"> Methods:</w:t>
      </w:r>
    </w:p>
    <w:p w:rsidR="0027113F" w:rsidRPr="000B2DCE" w:rsidRDefault="0027113F" w:rsidP="0027113F">
      <w:pPr>
        <w:widowControl w:val="0"/>
        <w:autoSpaceDE w:val="0"/>
        <w:autoSpaceDN w:val="0"/>
        <w:adjustRightInd w:val="0"/>
        <w:spacing w:line="240" w:lineRule="auto"/>
        <w:rPr>
          <w:rFonts w:ascii="Arial" w:eastAsia="Times New Roman" w:hAnsi="Arial" w:cs="Arial"/>
          <w:sz w:val="24"/>
          <w:szCs w:val="24"/>
          <w:lang w:val="en-GB" w:eastAsia="de-DE"/>
        </w:rPr>
      </w:pPr>
      <w:r w:rsidRPr="000B2DCE">
        <w:rPr>
          <w:rFonts w:ascii="Arial" w:eastAsia="Times New Roman" w:hAnsi="Arial" w:cs="Arial"/>
          <w:sz w:val="24"/>
          <w:szCs w:val="24"/>
          <w:lang w:val="en-GB" w:eastAsia="de-DE"/>
        </w:rPr>
        <w:t xml:space="preserve">Adopted CIPAC methods are available on a per-method basis as pdf-file, as long as they are not yet published in a Handbook. CIPAC charges a nominal fee per method. The list on the order form is exhaustive, which means that methods which are not on the list are not available. The list of methods (see </w:t>
      </w:r>
      <w:hyperlink r:id="rId7" w:history="1">
        <w:r w:rsidRPr="000B2DCE">
          <w:rPr>
            <w:rFonts w:ascii="Arial" w:eastAsia="Times New Roman" w:hAnsi="Arial" w:cs="Arial"/>
            <w:color w:val="0000FF"/>
            <w:sz w:val="24"/>
            <w:szCs w:val="24"/>
            <w:u w:val="single"/>
            <w:lang w:val="en-GB" w:eastAsia="de-DE"/>
          </w:rPr>
          <w:t>http://www.cipac.org/prepubme.htm</w:t>
        </w:r>
      </w:hyperlink>
      <w:r w:rsidRPr="000B2DCE">
        <w:rPr>
          <w:rFonts w:ascii="Arial" w:eastAsia="Times New Roman" w:hAnsi="Arial" w:cs="Arial"/>
          <w:sz w:val="24"/>
          <w:szCs w:val="24"/>
          <w:lang w:val="en-GB" w:eastAsia="de-DE"/>
        </w:rPr>
        <w:t xml:space="preserve">) covers the time period of adoption of methods at </w:t>
      </w:r>
      <w:proofErr w:type="gramStart"/>
      <w:r w:rsidRPr="000B2DCE">
        <w:rPr>
          <w:rFonts w:ascii="Arial" w:eastAsia="Times New Roman" w:hAnsi="Arial" w:cs="Arial"/>
          <w:sz w:val="24"/>
          <w:szCs w:val="24"/>
          <w:lang w:val="en-GB" w:eastAsia="de-DE"/>
        </w:rPr>
        <w:t>the from</w:t>
      </w:r>
      <w:proofErr w:type="gramEnd"/>
      <w:r w:rsidRPr="000B2DCE">
        <w:rPr>
          <w:rFonts w:ascii="Arial" w:eastAsia="Times New Roman" w:hAnsi="Arial" w:cs="Arial"/>
          <w:sz w:val="24"/>
          <w:szCs w:val="24"/>
          <w:lang w:val="en-GB" w:eastAsia="de-DE"/>
        </w:rPr>
        <w:t xml:space="preserve"> going to press of Handbook O (summer 2012) to present (September 2014, after CIPAC Meeting in Liège, Belgium). For further details see </w:t>
      </w:r>
      <w:proofErr w:type="spellStart"/>
      <w:r w:rsidRPr="000B2DCE">
        <w:rPr>
          <w:rFonts w:ascii="Arial" w:eastAsia="Times New Roman" w:hAnsi="Arial" w:cs="Arial"/>
          <w:sz w:val="24"/>
          <w:szCs w:val="24"/>
          <w:lang w:val="en-GB" w:eastAsia="de-DE"/>
        </w:rPr>
        <w:t>prepublished</w:t>
      </w:r>
      <w:proofErr w:type="spellEnd"/>
      <w:r w:rsidRPr="000B2DCE">
        <w:rPr>
          <w:rFonts w:ascii="Arial" w:eastAsia="Times New Roman" w:hAnsi="Arial" w:cs="Arial"/>
          <w:sz w:val="24"/>
          <w:szCs w:val="24"/>
          <w:lang w:val="en-GB" w:eastAsia="de-DE"/>
        </w:rPr>
        <w:t xml:space="preserve"> order form.</w:t>
      </w:r>
    </w:p>
    <w:p w:rsidR="0027113F" w:rsidRPr="000B2DCE" w:rsidRDefault="0027113F" w:rsidP="0027113F">
      <w:pPr>
        <w:widowControl w:val="0"/>
        <w:spacing w:line="240" w:lineRule="auto"/>
        <w:jc w:val="center"/>
        <w:rPr>
          <w:rFonts w:eastAsia="Times New Roman"/>
          <w:spacing w:val="-3"/>
          <w:sz w:val="24"/>
          <w:szCs w:val="24"/>
          <w:lang w:val="en-GB" w:eastAsia="zh-CN"/>
        </w:rPr>
      </w:pPr>
    </w:p>
    <w:p w:rsidR="0027113F" w:rsidRPr="000B2DCE" w:rsidRDefault="0027113F" w:rsidP="0027113F">
      <w:pPr>
        <w:widowControl w:val="0"/>
        <w:autoSpaceDE w:val="0"/>
        <w:autoSpaceDN w:val="0"/>
        <w:adjustRightInd w:val="0"/>
        <w:spacing w:line="240" w:lineRule="auto"/>
        <w:rPr>
          <w:rFonts w:ascii="Arial" w:eastAsia="Times New Roman" w:hAnsi="Arial" w:cs="Arial"/>
          <w:b/>
          <w:sz w:val="24"/>
          <w:szCs w:val="24"/>
          <w:lang w:val="en-GB" w:eastAsia="de-DE"/>
        </w:rPr>
      </w:pPr>
      <w:r w:rsidRPr="000B2DCE">
        <w:rPr>
          <w:rFonts w:ascii="Arial" w:eastAsia="Times New Roman" w:hAnsi="Arial" w:cs="Arial"/>
          <w:b/>
          <w:sz w:val="24"/>
          <w:szCs w:val="24"/>
          <w:lang w:val="en-GB" w:eastAsia="de-DE"/>
        </w:rPr>
        <w:t>Terms of Use:</w:t>
      </w:r>
    </w:p>
    <w:p w:rsidR="0027113F" w:rsidRPr="000B2DCE" w:rsidRDefault="0027113F" w:rsidP="0027113F">
      <w:pPr>
        <w:widowControl w:val="0"/>
        <w:autoSpaceDE w:val="0"/>
        <w:autoSpaceDN w:val="0"/>
        <w:adjustRightInd w:val="0"/>
        <w:spacing w:line="240" w:lineRule="auto"/>
        <w:rPr>
          <w:rFonts w:ascii="Arial" w:eastAsia="Times New Roman" w:hAnsi="Arial" w:cs="Arial"/>
          <w:sz w:val="24"/>
          <w:szCs w:val="24"/>
          <w:lang w:val="en-GB" w:eastAsia="de-DE"/>
        </w:rPr>
      </w:pPr>
      <w:r w:rsidRPr="000B2DCE">
        <w:rPr>
          <w:rFonts w:ascii="Arial" w:eastAsia="Times New Roman" w:hAnsi="Arial" w:cs="Arial"/>
          <w:sz w:val="24"/>
          <w:szCs w:val="24"/>
          <w:lang w:val="en-GB" w:eastAsia="de-DE"/>
        </w:rPr>
        <w:t>By ordering one or more of these methods, the user accepts the conditions of use as follows:</w:t>
      </w:r>
    </w:p>
    <w:p w:rsidR="0027113F" w:rsidRPr="000B2DCE" w:rsidRDefault="0027113F" w:rsidP="0027113F">
      <w:pPr>
        <w:widowControl w:val="0"/>
        <w:numPr>
          <w:ilvl w:val="0"/>
          <w:numId w:val="1"/>
        </w:numPr>
        <w:autoSpaceDE w:val="0"/>
        <w:autoSpaceDN w:val="0"/>
        <w:adjustRightInd w:val="0"/>
        <w:spacing w:line="240" w:lineRule="auto"/>
        <w:rPr>
          <w:rFonts w:ascii="Arial" w:eastAsia="Times New Roman" w:hAnsi="Arial" w:cs="Arial"/>
          <w:sz w:val="24"/>
          <w:szCs w:val="24"/>
          <w:lang w:val="en-GB" w:eastAsia="de-DE"/>
        </w:rPr>
      </w:pPr>
      <w:r w:rsidRPr="000B2DCE">
        <w:rPr>
          <w:rFonts w:ascii="Arial" w:eastAsia="Times New Roman" w:hAnsi="Arial" w:cs="Arial"/>
          <w:sz w:val="24"/>
          <w:szCs w:val="24"/>
          <w:lang w:val="en-GB" w:eastAsia="de-DE"/>
        </w:rPr>
        <w:t>these are draft methods and are subject to revision without further notice</w:t>
      </w:r>
    </w:p>
    <w:p w:rsidR="0027113F" w:rsidRPr="000B2DCE" w:rsidRDefault="0027113F" w:rsidP="0027113F">
      <w:pPr>
        <w:widowControl w:val="0"/>
        <w:numPr>
          <w:ilvl w:val="0"/>
          <w:numId w:val="1"/>
        </w:numPr>
        <w:autoSpaceDE w:val="0"/>
        <w:autoSpaceDN w:val="0"/>
        <w:adjustRightInd w:val="0"/>
        <w:spacing w:line="240" w:lineRule="auto"/>
        <w:rPr>
          <w:rFonts w:ascii="Arial" w:eastAsia="Times New Roman" w:hAnsi="Arial" w:cs="Arial"/>
          <w:sz w:val="24"/>
          <w:szCs w:val="24"/>
          <w:lang w:val="en-GB" w:eastAsia="de-DE"/>
        </w:rPr>
      </w:pPr>
      <w:proofErr w:type="gramStart"/>
      <w:r w:rsidRPr="000B2DCE">
        <w:rPr>
          <w:rFonts w:ascii="Arial" w:eastAsia="Times New Roman" w:hAnsi="Arial" w:cs="Arial"/>
          <w:sz w:val="24"/>
          <w:szCs w:val="24"/>
          <w:lang w:val="en-GB" w:eastAsia="de-DE"/>
        </w:rPr>
        <w:t>these</w:t>
      </w:r>
      <w:proofErr w:type="gramEnd"/>
      <w:r w:rsidRPr="000B2DCE">
        <w:rPr>
          <w:rFonts w:ascii="Arial" w:eastAsia="Times New Roman" w:hAnsi="Arial" w:cs="Arial"/>
          <w:sz w:val="24"/>
          <w:szCs w:val="24"/>
          <w:lang w:val="en-GB" w:eastAsia="de-DE"/>
        </w:rPr>
        <w:t xml:space="preserve"> methods will appear in revised and edited form in CIPAC Handbook O presumably in the year 2015. The </w:t>
      </w:r>
      <w:proofErr w:type="spellStart"/>
      <w:r w:rsidRPr="000B2DCE">
        <w:rPr>
          <w:rFonts w:ascii="Arial" w:eastAsia="Times New Roman" w:hAnsi="Arial" w:cs="Arial"/>
          <w:sz w:val="24"/>
          <w:szCs w:val="24"/>
          <w:lang w:val="en-GB" w:eastAsia="de-DE"/>
        </w:rPr>
        <w:t>prepublished</w:t>
      </w:r>
      <w:proofErr w:type="spellEnd"/>
      <w:r w:rsidRPr="000B2DCE">
        <w:rPr>
          <w:rFonts w:ascii="Arial" w:eastAsia="Times New Roman" w:hAnsi="Arial" w:cs="Arial"/>
          <w:sz w:val="24"/>
          <w:szCs w:val="24"/>
          <w:lang w:val="en-GB" w:eastAsia="de-DE"/>
        </w:rPr>
        <w:t xml:space="preserve"> methods expire as soon as they appear in printed form in the CIPAC Handbook O.</w:t>
      </w:r>
    </w:p>
    <w:p w:rsidR="0027113F" w:rsidRPr="000B2DCE" w:rsidRDefault="0027113F" w:rsidP="0027113F">
      <w:pPr>
        <w:widowControl w:val="0"/>
        <w:numPr>
          <w:ilvl w:val="0"/>
          <w:numId w:val="1"/>
        </w:numPr>
        <w:autoSpaceDE w:val="0"/>
        <w:autoSpaceDN w:val="0"/>
        <w:adjustRightInd w:val="0"/>
        <w:spacing w:line="240" w:lineRule="auto"/>
        <w:rPr>
          <w:rFonts w:eastAsia="Times New Roman"/>
          <w:sz w:val="24"/>
          <w:szCs w:val="20"/>
          <w:lang w:val="en-GB" w:eastAsia="zh-CN"/>
        </w:rPr>
      </w:pPr>
      <w:r w:rsidRPr="000B2DCE">
        <w:rPr>
          <w:rFonts w:ascii="Arial" w:eastAsia="Times New Roman" w:hAnsi="Arial" w:cs="Arial"/>
          <w:sz w:val="24"/>
          <w:szCs w:val="24"/>
          <w:lang w:val="en-GB" w:eastAsia="de-DE"/>
        </w:rPr>
        <w:t xml:space="preserve">The CIPAC copyright and disclaimer (cf. CIPAC Handbook N, page ii) applies to all </w:t>
      </w:r>
      <w:proofErr w:type="spellStart"/>
      <w:r w:rsidRPr="000B2DCE">
        <w:rPr>
          <w:rFonts w:ascii="Arial" w:eastAsia="Times New Roman" w:hAnsi="Arial" w:cs="Arial"/>
          <w:sz w:val="24"/>
          <w:szCs w:val="24"/>
          <w:lang w:val="en-GB" w:eastAsia="de-DE"/>
        </w:rPr>
        <w:t>prepublished</w:t>
      </w:r>
      <w:proofErr w:type="spellEnd"/>
      <w:r w:rsidRPr="000B2DCE">
        <w:rPr>
          <w:rFonts w:ascii="Arial" w:eastAsia="Times New Roman" w:hAnsi="Arial" w:cs="Arial"/>
          <w:sz w:val="24"/>
          <w:szCs w:val="24"/>
          <w:lang w:val="en-GB" w:eastAsia="de-DE"/>
        </w:rPr>
        <w:t xml:space="preserve"> methods.</w:t>
      </w:r>
    </w:p>
    <w:p w:rsidR="0027113F" w:rsidRPr="000B2DCE" w:rsidRDefault="0027113F" w:rsidP="0027113F">
      <w:pPr>
        <w:widowControl w:val="0"/>
        <w:autoSpaceDE w:val="0"/>
        <w:autoSpaceDN w:val="0"/>
        <w:adjustRightInd w:val="0"/>
        <w:spacing w:line="240" w:lineRule="auto"/>
        <w:rPr>
          <w:rFonts w:ascii="Arial" w:eastAsia="Times New Roman" w:hAnsi="Arial" w:cs="Arial"/>
          <w:sz w:val="24"/>
          <w:szCs w:val="24"/>
          <w:lang w:val="en-GB" w:eastAsia="de-DE"/>
        </w:rPr>
      </w:pPr>
    </w:p>
    <w:p w:rsidR="0027113F" w:rsidRPr="000B2DCE" w:rsidRDefault="0027113F" w:rsidP="0027113F">
      <w:pPr>
        <w:widowControl w:val="0"/>
        <w:autoSpaceDE w:val="0"/>
        <w:autoSpaceDN w:val="0"/>
        <w:adjustRightInd w:val="0"/>
        <w:spacing w:line="240" w:lineRule="auto"/>
        <w:rPr>
          <w:rFonts w:ascii="Arial" w:eastAsia="Times New Roman" w:hAnsi="Arial" w:cs="Arial"/>
          <w:sz w:val="24"/>
          <w:szCs w:val="24"/>
          <w:lang w:val="en-GB" w:eastAsia="de-DE"/>
        </w:rPr>
      </w:pPr>
    </w:p>
    <w:p w:rsidR="0027113F" w:rsidRPr="000B2DCE" w:rsidRDefault="0027113F" w:rsidP="0027113F">
      <w:pPr>
        <w:widowControl w:val="0"/>
        <w:spacing w:line="240" w:lineRule="auto"/>
        <w:jc w:val="center"/>
        <w:rPr>
          <w:rFonts w:ascii="Arial" w:eastAsia="Times New Roman" w:hAnsi="Arial" w:cs="Arial"/>
          <w:sz w:val="72"/>
          <w:szCs w:val="20"/>
          <w:lang w:val="en-GB" w:eastAsia="zh-CN"/>
        </w:rPr>
      </w:pPr>
      <w:r w:rsidRPr="000B2DCE">
        <w:rPr>
          <w:rFonts w:ascii="Arial" w:eastAsia="Times New Roman" w:hAnsi="Arial" w:cs="Arial"/>
          <w:sz w:val="72"/>
          <w:szCs w:val="20"/>
          <w:lang w:val="en-GB" w:eastAsia="zh-CN"/>
        </w:rPr>
        <w:br w:type="page"/>
      </w:r>
    </w:p>
    <w:p w:rsidR="0027113F" w:rsidRPr="0027113F" w:rsidRDefault="0027113F" w:rsidP="0027113F">
      <w:pPr>
        <w:pStyle w:val="Default"/>
        <w:rPr>
          <w:lang w:val="en-GB"/>
        </w:rPr>
      </w:pPr>
    </w:p>
    <w:p w:rsidR="0027113F" w:rsidRPr="0027113F" w:rsidRDefault="0027113F" w:rsidP="0027113F">
      <w:pPr>
        <w:spacing w:line="240" w:lineRule="auto"/>
        <w:jc w:val="center"/>
        <w:rPr>
          <w:b/>
          <w:caps/>
          <w:sz w:val="28"/>
          <w:szCs w:val="24"/>
          <w:lang w:val="en-US"/>
        </w:rPr>
      </w:pPr>
      <w:r w:rsidRPr="0027113F">
        <w:rPr>
          <w:b/>
          <w:caps/>
          <w:sz w:val="28"/>
          <w:szCs w:val="24"/>
          <w:lang w:val="en-US"/>
        </w:rPr>
        <w:t xml:space="preserve"> Extension of CIPAC method MT 46.3 to LN (ACCELERATED STORAGE PROCEDURE) </w:t>
      </w:r>
    </w:p>
    <w:p w:rsidR="0027113F" w:rsidRDefault="0027113F" w:rsidP="0027113F">
      <w:pPr>
        <w:spacing w:line="240" w:lineRule="auto"/>
        <w:jc w:val="center"/>
        <w:rPr>
          <w:b/>
          <w:caps/>
          <w:sz w:val="28"/>
          <w:szCs w:val="24"/>
          <w:lang w:val="en-US"/>
        </w:rPr>
      </w:pPr>
    </w:p>
    <w:p w:rsidR="0027113F" w:rsidRDefault="0027113F" w:rsidP="0027113F">
      <w:pPr>
        <w:spacing w:line="240" w:lineRule="auto"/>
        <w:jc w:val="center"/>
        <w:rPr>
          <w:b/>
          <w:caps/>
          <w:sz w:val="28"/>
          <w:szCs w:val="24"/>
          <w:lang w:val="en-US"/>
        </w:rPr>
      </w:pPr>
    </w:p>
    <w:p w:rsidR="0027113F" w:rsidRPr="0027113F" w:rsidRDefault="0027113F" w:rsidP="0027113F">
      <w:pPr>
        <w:autoSpaceDE w:val="0"/>
        <w:autoSpaceDN w:val="0"/>
        <w:adjustRightInd w:val="0"/>
        <w:spacing w:line="240" w:lineRule="auto"/>
        <w:rPr>
          <w:rFonts w:eastAsiaTheme="minorHAnsi"/>
          <w:color w:val="000000"/>
          <w:sz w:val="24"/>
          <w:szCs w:val="24"/>
          <w:lang w:val="de-CH" w:eastAsia="en-US"/>
        </w:rPr>
      </w:pPr>
    </w:p>
    <w:p w:rsidR="0027113F" w:rsidRPr="00B45252" w:rsidRDefault="0027113F" w:rsidP="0027113F">
      <w:pPr>
        <w:spacing w:line="240" w:lineRule="auto"/>
        <w:jc w:val="both"/>
        <w:rPr>
          <w:sz w:val="28"/>
          <w:szCs w:val="28"/>
          <w:lang w:val="en-US"/>
        </w:rPr>
      </w:pPr>
      <w:r w:rsidRPr="00CC6C91">
        <w:rPr>
          <w:sz w:val="28"/>
          <w:szCs w:val="28"/>
          <w:lang w:val="en-US"/>
        </w:rPr>
        <w:t>As for</w:t>
      </w:r>
      <w:r>
        <w:rPr>
          <w:sz w:val="28"/>
          <w:szCs w:val="28"/>
          <w:lang w:val="en-US"/>
        </w:rPr>
        <w:t xml:space="preserve"> </w:t>
      </w:r>
      <w:r>
        <w:rPr>
          <w:sz w:val="28"/>
          <w:szCs w:val="28"/>
          <w:lang w:val="en-US"/>
        </w:rPr>
        <w:t xml:space="preserve">MT 46.3 Accelerated Storage Procedure </w:t>
      </w:r>
      <w:r>
        <w:rPr>
          <w:caps/>
          <w:sz w:val="28"/>
          <w:szCs w:val="24"/>
          <w:lang w:val="en-US"/>
        </w:rPr>
        <w:t>(</w:t>
      </w:r>
      <w:r w:rsidRPr="006F6E19">
        <w:rPr>
          <w:sz w:val="28"/>
          <w:szCs w:val="28"/>
          <w:lang w:val="en-GB"/>
        </w:rPr>
        <w:t xml:space="preserve">CIPAC </w:t>
      </w:r>
      <w:r>
        <w:rPr>
          <w:sz w:val="28"/>
          <w:szCs w:val="28"/>
          <w:lang w:val="en-GB"/>
        </w:rPr>
        <w:t>J</w:t>
      </w:r>
      <w:r w:rsidRPr="006F6E19">
        <w:rPr>
          <w:sz w:val="28"/>
          <w:szCs w:val="28"/>
          <w:lang w:val="en-GB"/>
        </w:rPr>
        <w:t>,</w:t>
      </w:r>
      <w:r w:rsidRPr="006F6E19">
        <w:rPr>
          <w:i/>
          <w:sz w:val="28"/>
          <w:szCs w:val="28"/>
          <w:lang w:val="en-GB"/>
        </w:rPr>
        <w:t xml:space="preserve"> p </w:t>
      </w:r>
      <w:r>
        <w:rPr>
          <w:i/>
          <w:sz w:val="28"/>
          <w:szCs w:val="28"/>
          <w:lang w:val="en-GB"/>
        </w:rPr>
        <w:t>128</w:t>
      </w:r>
      <w:r>
        <w:rPr>
          <w:sz w:val="28"/>
          <w:szCs w:val="28"/>
          <w:lang w:val="en-GB"/>
        </w:rPr>
        <w:t>) but add:</w:t>
      </w:r>
    </w:p>
    <w:p w:rsidR="0027113F" w:rsidRDefault="0027113F" w:rsidP="0027113F">
      <w:pPr>
        <w:spacing w:line="240" w:lineRule="auto"/>
        <w:jc w:val="center"/>
        <w:rPr>
          <w:b/>
          <w:caps/>
          <w:sz w:val="28"/>
          <w:szCs w:val="24"/>
          <w:lang w:val="en-US"/>
        </w:rPr>
      </w:pPr>
    </w:p>
    <w:p w:rsidR="0027113F" w:rsidRPr="0027113F" w:rsidRDefault="0027113F" w:rsidP="0027113F">
      <w:pPr>
        <w:spacing w:line="240" w:lineRule="auto"/>
        <w:rPr>
          <w:b/>
          <w:caps/>
          <w:sz w:val="28"/>
          <w:szCs w:val="24"/>
          <w:lang w:val="en-US"/>
        </w:rPr>
      </w:pPr>
      <w:r w:rsidRPr="0027113F">
        <w:rPr>
          <w:b/>
          <w:caps/>
          <w:sz w:val="28"/>
          <w:szCs w:val="24"/>
          <w:lang w:val="en-US"/>
        </w:rPr>
        <w:t xml:space="preserve">4 LN formulations </w:t>
      </w:r>
    </w:p>
    <w:p w:rsidR="0027113F" w:rsidRDefault="0027113F" w:rsidP="0027113F">
      <w:pPr>
        <w:pStyle w:val="Default"/>
        <w:rPr>
          <w:sz w:val="28"/>
          <w:szCs w:val="28"/>
          <w:lang w:val="en-GB"/>
        </w:rPr>
      </w:pPr>
    </w:p>
    <w:p w:rsidR="0027113F" w:rsidRPr="0027113F" w:rsidRDefault="0027113F" w:rsidP="002436BA">
      <w:pPr>
        <w:pStyle w:val="Default"/>
        <w:spacing w:after="120"/>
        <w:rPr>
          <w:sz w:val="28"/>
          <w:szCs w:val="28"/>
          <w:lang w:val="en-GB"/>
        </w:rPr>
      </w:pPr>
      <w:r w:rsidRPr="0027113F">
        <w:rPr>
          <w:sz w:val="28"/>
          <w:szCs w:val="28"/>
          <w:lang w:val="en-GB"/>
        </w:rPr>
        <w:t xml:space="preserve">SCOPE </w:t>
      </w:r>
    </w:p>
    <w:p w:rsidR="0027113F" w:rsidRPr="0027113F" w:rsidRDefault="0027113F" w:rsidP="0027113F">
      <w:pPr>
        <w:pStyle w:val="Default"/>
        <w:rPr>
          <w:sz w:val="28"/>
          <w:szCs w:val="28"/>
          <w:lang w:val="en-GB"/>
        </w:rPr>
      </w:pPr>
      <w:r w:rsidRPr="0027113F">
        <w:rPr>
          <w:sz w:val="28"/>
          <w:szCs w:val="28"/>
          <w:lang w:val="en-GB"/>
        </w:rPr>
        <w:t xml:space="preserve">The method is suitable for accelerated storage stability of long-lasting insecticidal nets (LN) regarding determination of active ingredient content and wash resistance index. It is not suitable for accelerated storage stability of LN regarding determination of physical tests. </w:t>
      </w:r>
    </w:p>
    <w:p w:rsidR="0027113F" w:rsidRDefault="0027113F" w:rsidP="0027113F">
      <w:pPr>
        <w:pStyle w:val="Default"/>
        <w:rPr>
          <w:sz w:val="28"/>
          <w:szCs w:val="28"/>
          <w:lang w:val="en-GB"/>
        </w:rPr>
      </w:pPr>
    </w:p>
    <w:p w:rsidR="0027113F" w:rsidRPr="0027113F" w:rsidRDefault="0027113F" w:rsidP="002436BA">
      <w:pPr>
        <w:pStyle w:val="Default"/>
        <w:spacing w:after="120"/>
        <w:rPr>
          <w:sz w:val="28"/>
          <w:szCs w:val="28"/>
          <w:lang w:val="en-GB"/>
        </w:rPr>
      </w:pPr>
      <w:r w:rsidRPr="0027113F">
        <w:rPr>
          <w:sz w:val="28"/>
          <w:szCs w:val="28"/>
          <w:lang w:val="en-GB"/>
        </w:rPr>
        <w:t xml:space="preserve">APPARATUS </w:t>
      </w:r>
    </w:p>
    <w:p w:rsidR="0027113F" w:rsidRPr="0027113F" w:rsidRDefault="0027113F" w:rsidP="0027113F">
      <w:pPr>
        <w:pStyle w:val="Default"/>
        <w:rPr>
          <w:sz w:val="28"/>
          <w:szCs w:val="28"/>
          <w:lang w:val="en-GB"/>
        </w:rPr>
      </w:pPr>
      <w:r w:rsidRPr="0027113F">
        <w:rPr>
          <w:i/>
          <w:iCs/>
          <w:sz w:val="28"/>
          <w:szCs w:val="28"/>
          <w:lang w:val="en-GB"/>
        </w:rPr>
        <w:t xml:space="preserve">Oven </w:t>
      </w:r>
      <w:r w:rsidRPr="0027113F">
        <w:rPr>
          <w:sz w:val="28"/>
          <w:szCs w:val="28"/>
          <w:lang w:val="en-GB"/>
        </w:rPr>
        <w:t xml:space="preserve">flameproof and thermostatically maintained at the required temperature (± 2°C). </w:t>
      </w:r>
    </w:p>
    <w:p w:rsidR="0027113F" w:rsidRPr="0027113F" w:rsidRDefault="0027113F" w:rsidP="0027113F">
      <w:pPr>
        <w:pStyle w:val="Default"/>
        <w:rPr>
          <w:sz w:val="28"/>
          <w:szCs w:val="28"/>
          <w:lang w:val="en-GB"/>
        </w:rPr>
      </w:pPr>
      <w:r w:rsidRPr="0027113F">
        <w:rPr>
          <w:i/>
          <w:iCs/>
          <w:sz w:val="28"/>
          <w:szCs w:val="28"/>
          <w:lang w:val="en-GB"/>
        </w:rPr>
        <w:t xml:space="preserve">1 L glass bottles </w:t>
      </w:r>
      <w:r w:rsidRPr="0027113F">
        <w:rPr>
          <w:sz w:val="28"/>
          <w:szCs w:val="28"/>
          <w:lang w:val="en-GB"/>
        </w:rPr>
        <w:t>conforming to ISO</w:t>
      </w:r>
      <w:bookmarkStart w:id="0" w:name="_GoBack"/>
      <w:bookmarkEnd w:id="0"/>
      <w:r w:rsidRPr="0027113F">
        <w:rPr>
          <w:sz w:val="28"/>
          <w:szCs w:val="28"/>
          <w:lang w:val="en-GB"/>
        </w:rPr>
        <w:t xml:space="preserve"> 4796 and DIN 168 (outside diameter 101 mm, height 225 mm) fitted with screw caps and polyethylene inserts (Note 2). </w:t>
      </w:r>
    </w:p>
    <w:p w:rsidR="0027113F" w:rsidRDefault="0027113F" w:rsidP="0027113F">
      <w:pPr>
        <w:pStyle w:val="Default"/>
        <w:rPr>
          <w:sz w:val="28"/>
          <w:szCs w:val="28"/>
        </w:rPr>
      </w:pPr>
    </w:p>
    <w:p w:rsidR="0027113F" w:rsidRPr="002436BA" w:rsidRDefault="0027113F" w:rsidP="002436BA">
      <w:pPr>
        <w:pStyle w:val="Default"/>
        <w:spacing w:after="120"/>
        <w:rPr>
          <w:sz w:val="28"/>
          <w:szCs w:val="28"/>
          <w:lang w:val="en-GB"/>
        </w:rPr>
      </w:pPr>
      <w:r w:rsidRPr="002436BA">
        <w:rPr>
          <w:sz w:val="28"/>
          <w:szCs w:val="28"/>
          <w:lang w:val="en-GB"/>
        </w:rPr>
        <w:t xml:space="preserve">PROCEDURE </w:t>
      </w:r>
    </w:p>
    <w:p w:rsidR="00E838E2" w:rsidRDefault="0027113F" w:rsidP="0027113F">
      <w:pPr>
        <w:rPr>
          <w:sz w:val="28"/>
          <w:szCs w:val="28"/>
          <w:lang w:val="en-GB"/>
        </w:rPr>
      </w:pPr>
      <w:r w:rsidRPr="0027113F">
        <w:rPr>
          <w:sz w:val="28"/>
          <w:szCs w:val="28"/>
          <w:lang w:val="en-GB"/>
        </w:rPr>
        <w:t>Fold carefully once or twice in each direction the required number of pieces of 25 cm x 25 cm of LN (as recommended in the WHO specifications or specific CIPAC methods for testing active ingredient content and wash resistance index), roll them, and put in a 1 L glass bottle, fit the polyethylene insert (Note 4 and 5) into the cap, tightly seal the bottle, and keep it in an oven at the specified temperature and for the defined period of time (Note 7). Remove the bottle from the oven and allow it to reach room temperature. Carry out the specified tests using the appropriate CIPAC methods for determination of total active ingredient content and wash resistance index.</w:t>
      </w:r>
    </w:p>
    <w:p w:rsidR="002436BA" w:rsidRDefault="002436BA" w:rsidP="0027113F">
      <w:pPr>
        <w:rPr>
          <w:sz w:val="28"/>
          <w:szCs w:val="28"/>
          <w:lang w:val="en-GB"/>
        </w:rPr>
      </w:pPr>
    </w:p>
    <w:p w:rsidR="002436BA" w:rsidRDefault="002436BA" w:rsidP="0027113F">
      <w:pPr>
        <w:rPr>
          <w:sz w:val="28"/>
          <w:szCs w:val="28"/>
          <w:lang w:val="en-GB"/>
        </w:rPr>
      </w:pPr>
    </w:p>
    <w:p w:rsidR="002436BA" w:rsidRDefault="002436BA" w:rsidP="002436BA">
      <w:pPr>
        <w:autoSpaceDE w:val="0"/>
        <w:autoSpaceDN w:val="0"/>
        <w:adjustRightInd w:val="0"/>
        <w:spacing w:line="240" w:lineRule="auto"/>
        <w:ind w:left="980" w:hanging="980"/>
        <w:jc w:val="both"/>
        <w:rPr>
          <w:rFonts w:eastAsiaTheme="minorHAnsi"/>
          <w:color w:val="000000"/>
          <w:sz w:val="28"/>
          <w:szCs w:val="28"/>
          <w:lang w:val="en-GB" w:eastAsia="en-US"/>
        </w:rPr>
      </w:pPr>
      <w:r w:rsidRPr="002436BA">
        <w:rPr>
          <w:rFonts w:eastAsiaTheme="minorHAnsi"/>
          <w:i/>
          <w:iCs/>
          <w:color w:val="000000"/>
          <w:sz w:val="28"/>
          <w:szCs w:val="28"/>
          <w:lang w:val="en-GB" w:eastAsia="en-US"/>
        </w:rPr>
        <w:t xml:space="preserve">Note 1 </w:t>
      </w:r>
      <w:r w:rsidRPr="002436BA">
        <w:rPr>
          <w:rFonts w:eastAsiaTheme="minorHAnsi"/>
          <w:color w:val="000000"/>
          <w:sz w:val="28"/>
          <w:szCs w:val="28"/>
          <w:lang w:val="en-GB" w:eastAsia="en-US"/>
        </w:rPr>
        <w:t xml:space="preserve">Screw-capped bottles may not be suitable for certain solvent containing formulations since the solvent may be lost through the cap. For these formulations use sealed glass tubes or ampoules. After storage cool - for safety reasons - the sealed glass tubes or ampoules to between 0 and 10 °C and place them in a metal tube before breaking. </w:t>
      </w:r>
    </w:p>
    <w:p w:rsidR="002436BA" w:rsidRDefault="002436BA">
      <w:pPr>
        <w:spacing w:after="160" w:line="259" w:lineRule="auto"/>
        <w:rPr>
          <w:rFonts w:eastAsiaTheme="minorHAnsi"/>
          <w:color w:val="000000"/>
          <w:sz w:val="28"/>
          <w:szCs w:val="28"/>
          <w:lang w:val="en-GB" w:eastAsia="en-US"/>
        </w:rPr>
      </w:pPr>
      <w:r>
        <w:rPr>
          <w:rFonts w:eastAsiaTheme="minorHAnsi"/>
          <w:color w:val="000000"/>
          <w:sz w:val="28"/>
          <w:szCs w:val="28"/>
          <w:lang w:val="en-GB" w:eastAsia="en-US"/>
        </w:rPr>
        <w:br w:type="page"/>
      </w:r>
    </w:p>
    <w:p w:rsidR="002436BA" w:rsidRPr="002436BA" w:rsidRDefault="002436BA" w:rsidP="002436BA">
      <w:pPr>
        <w:autoSpaceDE w:val="0"/>
        <w:autoSpaceDN w:val="0"/>
        <w:adjustRightInd w:val="0"/>
        <w:spacing w:line="240" w:lineRule="auto"/>
        <w:ind w:left="980" w:hanging="980"/>
        <w:jc w:val="both"/>
        <w:rPr>
          <w:rFonts w:eastAsiaTheme="minorHAnsi"/>
          <w:color w:val="000000"/>
          <w:sz w:val="28"/>
          <w:szCs w:val="28"/>
          <w:lang w:val="en-GB" w:eastAsia="en-US"/>
        </w:rPr>
      </w:pPr>
    </w:p>
    <w:p w:rsidR="002436BA" w:rsidRPr="002436BA" w:rsidRDefault="002436BA" w:rsidP="002436BA">
      <w:pPr>
        <w:autoSpaceDE w:val="0"/>
        <w:autoSpaceDN w:val="0"/>
        <w:adjustRightInd w:val="0"/>
        <w:spacing w:line="240" w:lineRule="auto"/>
        <w:ind w:left="980" w:hanging="980"/>
        <w:jc w:val="both"/>
        <w:rPr>
          <w:rFonts w:eastAsiaTheme="minorHAnsi"/>
          <w:color w:val="000000"/>
          <w:sz w:val="28"/>
          <w:szCs w:val="28"/>
          <w:lang w:val="en-GB" w:eastAsia="en-US"/>
        </w:rPr>
      </w:pPr>
      <w:r w:rsidRPr="002436BA">
        <w:rPr>
          <w:rFonts w:eastAsiaTheme="minorHAnsi"/>
          <w:i/>
          <w:iCs/>
          <w:color w:val="000000"/>
          <w:sz w:val="28"/>
          <w:szCs w:val="28"/>
          <w:lang w:val="en-GB" w:eastAsia="en-US"/>
        </w:rPr>
        <w:t xml:space="preserve">Note 2 </w:t>
      </w:r>
      <w:r w:rsidRPr="002436BA">
        <w:rPr>
          <w:rFonts w:eastAsiaTheme="minorHAnsi"/>
          <w:color w:val="000000"/>
          <w:sz w:val="28"/>
          <w:szCs w:val="28"/>
          <w:lang w:val="en-GB" w:eastAsia="en-US"/>
        </w:rPr>
        <w:t xml:space="preserve">A larger sample, possibly in a larger bottle (or beaker in the case of solid formulations stored under pressure), may need to be placed in storage if an extensive array of post-storage tests is envisaged. </w:t>
      </w:r>
    </w:p>
    <w:p w:rsidR="002436BA" w:rsidRPr="002436BA" w:rsidRDefault="002436BA" w:rsidP="002436BA">
      <w:pPr>
        <w:autoSpaceDE w:val="0"/>
        <w:autoSpaceDN w:val="0"/>
        <w:adjustRightInd w:val="0"/>
        <w:spacing w:line="240" w:lineRule="auto"/>
        <w:ind w:left="980" w:hanging="980"/>
        <w:jc w:val="both"/>
        <w:rPr>
          <w:rFonts w:eastAsiaTheme="minorHAnsi"/>
          <w:color w:val="000000"/>
          <w:sz w:val="28"/>
          <w:szCs w:val="28"/>
          <w:lang w:val="en-GB" w:eastAsia="en-US"/>
        </w:rPr>
      </w:pPr>
      <w:r w:rsidRPr="002436BA">
        <w:rPr>
          <w:rFonts w:eastAsiaTheme="minorHAnsi"/>
          <w:i/>
          <w:iCs/>
          <w:color w:val="000000"/>
          <w:sz w:val="28"/>
          <w:szCs w:val="28"/>
          <w:lang w:val="en-GB" w:eastAsia="en-US"/>
        </w:rPr>
        <w:t xml:space="preserve">Note 3 </w:t>
      </w:r>
      <w:r w:rsidRPr="002436BA">
        <w:rPr>
          <w:rFonts w:eastAsiaTheme="minorHAnsi"/>
          <w:color w:val="000000"/>
          <w:sz w:val="28"/>
          <w:szCs w:val="28"/>
          <w:lang w:val="en-GB" w:eastAsia="en-US"/>
        </w:rPr>
        <w:t xml:space="preserve">Alternatively, a commercial pack, or a good representation thereof, may be used. In such a case use an appropriate sealing mechanism. </w:t>
      </w:r>
    </w:p>
    <w:p w:rsidR="002436BA" w:rsidRPr="002436BA" w:rsidRDefault="002436BA" w:rsidP="002436BA">
      <w:pPr>
        <w:autoSpaceDE w:val="0"/>
        <w:autoSpaceDN w:val="0"/>
        <w:adjustRightInd w:val="0"/>
        <w:spacing w:line="240" w:lineRule="auto"/>
        <w:ind w:left="980" w:hanging="980"/>
        <w:jc w:val="both"/>
        <w:rPr>
          <w:rFonts w:eastAsiaTheme="minorHAnsi"/>
          <w:color w:val="000000"/>
          <w:sz w:val="28"/>
          <w:szCs w:val="28"/>
          <w:lang w:val="en-GB" w:eastAsia="en-US"/>
        </w:rPr>
      </w:pPr>
      <w:r w:rsidRPr="002436BA">
        <w:rPr>
          <w:rFonts w:eastAsiaTheme="minorHAnsi"/>
          <w:i/>
          <w:iCs/>
          <w:color w:val="000000"/>
          <w:sz w:val="28"/>
          <w:szCs w:val="28"/>
          <w:lang w:val="en-GB" w:eastAsia="en-US"/>
        </w:rPr>
        <w:t xml:space="preserve">Note 4 </w:t>
      </w:r>
      <w:r w:rsidRPr="002436BA">
        <w:rPr>
          <w:rFonts w:eastAsiaTheme="minorHAnsi"/>
          <w:color w:val="000000"/>
          <w:sz w:val="28"/>
          <w:szCs w:val="28"/>
          <w:lang w:val="en-GB" w:eastAsia="en-US"/>
        </w:rPr>
        <w:t xml:space="preserve">Use a fresh insert each time. This should be a tight fit in the neck of the bottle and should be compressed by the cap of the bottle to form a tight seal. </w:t>
      </w:r>
    </w:p>
    <w:p w:rsidR="002436BA" w:rsidRPr="002436BA" w:rsidRDefault="002436BA" w:rsidP="002436BA">
      <w:pPr>
        <w:autoSpaceDE w:val="0"/>
        <w:autoSpaceDN w:val="0"/>
        <w:adjustRightInd w:val="0"/>
        <w:spacing w:line="240" w:lineRule="auto"/>
        <w:ind w:left="840" w:hanging="840"/>
        <w:jc w:val="both"/>
        <w:rPr>
          <w:rFonts w:eastAsiaTheme="minorHAnsi"/>
          <w:color w:val="000000"/>
          <w:sz w:val="28"/>
          <w:szCs w:val="28"/>
          <w:lang w:val="en-GB" w:eastAsia="en-US"/>
        </w:rPr>
      </w:pPr>
      <w:r w:rsidRPr="002436BA">
        <w:rPr>
          <w:rFonts w:eastAsiaTheme="minorHAnsi"/>
          <w:i/>
          <w:iCs/>
          <w:color w:val="000000"/>
          <w:sz w:val="28"/>
          <w:szCs w:val="28"/>
          <w:lang w:val="en-GB" w:eastAsia="en-US"/>
        </w:rPr>
        <w:t xml:space="preserve">Note 5 </w:t>
      </w:r>
      <w:r w:rsidRPr="002436BA">
        <w:rPr>
          <w:rFonts w:eastAsiaTheme="minorHAnsi"/>
          <w:color w:val="000000"/>
          <w:sz w:val="28"/>
          <w:szCs w:val="28"/>
          <w:lang w:val="en-GB" w:eastAsia="en-US"/>
        </w:rPr>
        <w:t xml:space="preserve">Or another suitable bottle closure. </w:t>
      </w:r>
    </w:p>
    <w:p w:rsidR="002436BA" w:rsidRPr="002436BA" w:rsidRDefault="002436BA" w:rsidP="002436BA">
      <w:pPr>
        <w:autoSpaceDE w:val="0"/>
        <w:autoSpaceDN w:val="0"/>
        <w:adjustRightInd w:val="0"/>
        <w:spacing w:line="240" w:lineRule="auto"/>
        <w:ind w:left="980" w:hanging="980"/>
        <w:jc w:val="both"/>
        <w:rPr>
          <w:rFonts w:eastAsiaTheme="minorHAnsi"/>
          <w:color w:val="000000"/>
          <w:sz w:val="28"/>
          <w:szCs w:val="28"/>
          <w:lang w:val="en-GB" w:eastAsia="en-US"/>
        </w:rPr>
      </w:pPr>
      <w:r w:rsidRPr="002436BA">
        <w:rPr>
          <w:rFonts w:eastAsiaTheme="minorHAnsi"/>
          <w:i/>
          <w:iCs/>
          <w:color w:val="000000"/>
          <w:sz w:val="28"/>
          <w:szCs w:val="28"/>
          <w:lang w:val="en-GB" w:eastAsia="en-US"/>
        </w:rPr>
        <w:t xml:space="preserve">Note 6 </w:t>
      </w:r>
      <w:r w:rsidRPr="002436BA">
        <w:rPr>
          <w:rFonts w:eastAsiaTheme="minorHAnsi"/>
          <w:color w:val="000000"/>
          <w:sz w:val="28"/>
          <w:szCs w:val="28"/>
          <w:lang w:val="en-GB" w:eastAsia="en-US"/>
        </w:rPr>
        <w:t xml:space="preserve">If the formulations contains a volatile solvent then it might be advisable - depending on the storage temperature - to close the bottle only slightly before putting it into the oven and then close it once the contents have reached the storage temperature </w:t>
      </w:r>
    </w:p>
    <w:p w:rsidR="002436BA" w:rsidRPr="002436BA" w:rsidRDefault="002436BA" w:rsidP="002436BA">
      <w:pPr>
        <w:autoSpaceDE w:val="0"/>
        <w:autoSpaceDN w:val="0"/>
        <w:adjustRightInd w:val="0"/>
        <w:spacing w:line="240" w:lineRule="auto"/>
        <w:ind w:left="980" w:hanging="980"/>
        <w:jc w:val="both"/>
        <w:rPr>
          <w:rFonts w:eastAsiaTheme="minorHAnsi"/>
          <w:color w:val="000000"/>
          <w:sz w:val="28"/>
          <w:szCs w:val="28"/>
          <w:lang w:val="en-GB" w:eastAsia="en-US"/>
        </w:rPr>
      </w:pPr>
      <w:r w:rsidRPr="002436BA">
        <w:rPr>
          <w:rFonts w:eastAsiaTheme="minorHAnsi"/>
          <w:i/>
          <w:iCs/>
          <w:color w:val="000000"/>
          <w:sz w:val="28"/>
          <w:szCs w:val="28"/>
          <w:lang w:val="en-GB" w:eastAsia="en-US"/>
        </w:rPr>
        <w:t xml:space="preserve">Note 7 </w:t>
      </w:r>
      <w:r w:rsidRPr="002436BA">
        <w:rPr>
          <w:rFonts w:eastAsiaTheme="minorHAnsi"/>
          <w:color w:val="000000"/>
          <w:sz w:val="28"/>
          <w:szCs w:val="28"/>
          <w:lang w:val="en-GB" w:eastAsia="en-US"/>
        </w:rPr>
        <w:t xml:space="preserve">If no time and/or temperature is specified, use one of the following test regimes: </w:t>
      </w:r>
    </w:p>
    <w:p w:rsidR="002436BA" w:rsidRPr="002436BA" w:rsidRDefault="002436BA" w:rsidP="002436BA">
      <w:pPr>
        <w:autoSpaceDE w:val="0"/>
        <w:autoSpaceDN w:val="0"/>
        <w:adjustRightInd w:val="0"/>
        <w:spacing w:line="240" w:lineRule="auto"/>
        <w:ind w:left="840"/>
        <w:jc w:val="both"/>
        <w:rPr>
          <w:rFonts w:eastAsiaTheme="minorHAnsi"/>
          <w:color w:val="000000"/>
          <w:sz w:val="28"/>
          <w:szCs w:val="28"/>
          <w:lang w:val="en-GB" w:eastAsia="en-US"/>
        </w:rPr>
      </w:pPr>
      <w:r w:rsidRPr="002436BA">
        <w:rPr>
          <w:rFonts w:eastAsiaTheme="minorHAnsi"/>
          <w:color w:val="000000"/>
          <w:sz w:val="28"/>
          <w:szCs w:val="28"/>
          <w:lang w:val="en-GB" w:eastAsia="en-US"/>
        </w:rPr>
        <w:t xml:space="preserve">54 ± 2 °C for 14 days </w:t>
      </w:r>
    </w:p>
    <w:p w:rsidR="002436BA" w:rsidRPr="002436BA" w:rsidRDefault="002436BA" w:rsidP="002436BA">
      <w:pPr>
        <w:autoSpaceDE w:val="0"/>
        <w:autoSpaceDN w:val="0"/>
        <w:adjustRightInd w:val="0"/>
        <w:spacing w:line="240" w:lineRule="auto"/>
        <w:ind w:left="840"/>
        <w:jc w:val="both"/>
        <w:rPr>
          <w:rFonts w:eastAsiaTheme="minorHAnsi"/>
          <w:color w:val="000000"/>
          <w:sz w:val="28"/>
          <w:szCs w:val="28"/>
          <w:lang w:val="en-GB" w:eastAsia="en-US"/>
        </w:rPr>
      </w:pPr>
      <w:r w:rsidRPr="002436BA">
        <w:rPr>
          <w:rFonts w:eastAsiaTheme="minorHAnsi"/>
          <w:color w:val="000000"/>
          <w:sz w:val="28"/>
          <w:szCs w:val="28"/>
          <w:lang w:val="en-GB" w:eastAsia="en-US"/>
        </w:rPr>
        <w:t xml:space="preserve">50 ± 2 °C for 4 weeks </w:t>
      </w:r>
    </w:p>
    <w:p w:rsidR="002436BA" w:rsidRPr="002436BA" w:rsidRDefault="002436BA" w:rsidP="002436BA">
      <w:pPr>
        <w:autoSpaceDE w:val="0"/>
        <w:autoSpaceDN w:val="0"/>
        <w:adjustRightInd w:val="0"/>
        <w:spacing w:line="240" w:lineRule="auto"/>
        <w:ind w:left="840"/>
        <w:jc w:val="both"/>
        <w:rPr>
          <w:rFonts w:eastAsiaTheme="minorHAnsi"/>
          <w:color w:val="000000"/>
          <w:sz w:val="28"/>
          <w:szCs w:val="28"/>
          <w:lang w:val="en-GB" w:eastAsia="en-US"/>
        </w:rPr>
      </w:pPr>
      <w:r w:rsidRPr="002436BA">
        <w:rPr>
          <w:rFonts w:eastAsiaTheme="minorHAnsi"/>
          <w:color w:val="000000"/>
          <w:sz w:val="28"/>
          <w:szCs w:val="28"/>
          <w:lang w:val="en-GB" w:eastAsia="en-US"/>
        </w:rPr>
        <w:t xml:space="preserve">45 ± 2 °C for 6 weeks </w:t>
      </w:r>
    </w:p>
    <w:p w:rsidR="002436BA" w:rsidRPr="002436BA" w:rsidRDefault="002436BA" w:rsidP="002436BA">
      <w:pPr>
        <w:autoSpaceDE w:val="0"/>
        <w:autoSpaceDN w:val="0"/>
        <w:adjustRightInd w:val="0"/>
        <w:spacing w:line="240" w:lineRule="auto"/>
        <w:ind w:left="840"/>
        <w:jc w:val="both"/>
        <w:rPr>
          <w:rFonts w:eastAsiaTheme="minorHAnsi"/>
          <w:color w:val="000000"/>
          <w:sz w:val="28"/>
          <w:szCs w:val="28"/>
          <w:lang w:val="en-GB" w:eastAsia="en-US"/>
        </w:rPr>
      </w:pPr>
      <w:r w:rsidRPr="002436BA">
        <w:rPr>
          <w:rFonts w:eastAsiaTheme="minorHAnsi"/>
          <w:color w:val="000000"/>
          <w:sz w:val="28"/>
          <w:szCs w:val="28"/>
          <w:lang w:val="en-GB" w:eastAsia="en-US"/>
        </w:rPr>
        <w:t xml:space="preserve">40 ± 2 °C for 8 weeks </w:t>
      </w:r>
    </w:p>
    <w:p w:rsidR="002436BA" w:rsidRPr="002436BA" w:rsidRDefault="002436BA" w:rsidP="002436BA">
      <w:pPr>
        <w:autoSpaceDE w:val="0"/>
        <w:autoSpaceDN w:val="0"/>
        <w:adjustRightInd w:val="0"/>
        <w:spacing w:line="240" w:lineRule="auto"/>
        <w:ind w:left="840"/>
        <w:jc w:val="both"/>
        <w:rPr>
          <w:rFonts w:eastAsiaTheme="minorHAnsi"/>
          <w:color w:val="000000"/>
          <w:sz w:val="28"/>
          <w:szCs w:val="28"/>
          <w:lang w:val="en-GB" w:eastAsia="en-US"/>
        </w:rPr>
      </w:pPr>
      <w:r w:rsidRPr="002436BA">
        <w:rPr>
          <w:rFonts w:eastAsiaTheme="minorHAnsi"/>
          <w:color w:val="000000"/>
          <w:sz w:val="28"/>
          <w:szCs w:val="28"/>
          <w:lang w:val="en-GB" w:eastAsia="en-US"/>
        </w:rPr>
        <w:t xml:space="preserve">35 ± 2 °C for 12 weeks </w:t>
      </w:r>
    </w:p>
    <w:p w:rsidR="002436BA" w:rsidRPr="002436BA" w:rsidRDefault="002436BA" w:rsidP="002436BA">
      <w:pPr>
        <w:autoSpaceDE w:val="0"/>
        <w:autoSpaceDN w:val="0"/>
        <w:adjustRightInd w:val="0"/>
        <w:spacing w:line="240" w:lineRule="auto"/>
        <w:ind w:left="840"/>
        <w:jc w:val="both"/>
        <w:rPr>
          <w:rFonts w:eastAsiaTheme="minorHAnsi"/>
          <w:color w:val="000000"/>
          <w:sz w:val="28"/>
          <w:szCs w:val="28"/>
          <w:lang w:val="en-GB" w:eastAsia="en-US"/>
        </w:rPr>
      </w:pPr>
      <w:r w:rsidRPr="002436BA">
        <w:rPr>
          <w:rFonts w:eastAsiaTheme="minorHAnsi"/>
          <w:color w:val="000000"/>
          <w:sz w:val="28"/>
          <w:szCs w:val="28"/>
          <w:lang w:val="en-GB" w:eastAsia="en-US"/>
        </w:rPr>
        <w:t xml:space="preserve">30 ± 2 °C for 18 weeks </w:t>
      </w:r>
    </w:p>
    <w:p w:rsidR="002436BA" w:rsidRPr="002436BA" w:rsidRDefault="002436BA" w:rsidP="002436BA">
      <w:pPr>
        <w:autoSpaceDE w:val="0"/>
        <w:autoSpaceDN w:val="0"/>
        <w:adjustRightInd w:val="0"/>
        <w:spacing w:line="240" w:lineRule="auto"/>
        <w:ind w:left="980" w:hanging="980"/>
        <w:jc w:val="both"/>
        <w:rPr>
          <w:rFonts w:eastAsiaTheme="minorHAnsi"/>
          <w:color w:val="000000"/>
          <w:sz w:val="28"/>
          <w:szCs w:val="28"/>
          <w:lang w:val="en-GB" w:eastAsia="en-US"/>
        </w:rPr>
      </w:pPr>
      <w:r w:rsidRPr="002436BA">
        <w:rPr>
          <w:rFonts w:eastAsiaTheme="minorHAnsi"/>
          <w:i/>
          <w:iCs/>
          <w:color w:val="000000"/>
          <w:sz w:val="28"/>
          <w:szCs w:val="28"/>
          <w:lang w:val="en-GB" w:eastAsia="en-US"/>
        </w:rPr>
        <w:t xml:space="preserve">Note 8 </w:t>
      </w:r>
      <w:r w:rsidRPr="002436BA">
        <w:rPr>
          <w:rFonts w:eastAsiaTheme="minorHAnsi"/>
          <w:color w:val="000000"/>
          <w:sz w:val="28"/>
          <w:szCs w:val="28"/>
          <w:lang w:val="en-GB" w:eastAsia="en-US"/>
        </w:rPr>
        <w:t xml:space="preserve">If the test is carried out on a larger samples, it may be necessary to use a larger beaker. </w:t>
      </w:r>
    </w:p>
    <w:p w:rsidR="002436BA" w:rsidRPr="002436BA" w:rsidRDefault="002436BA" w:rsidP="002436BA">
      <w:pPr>
        <w:rPr>
          <w:lang w:val="en-GB"/>
        </w:rPr>
      </w:pPr>
      <w:r w:rsidRPr="002436BA">
        <w:rPr>
          <w:rFonts w:eastAsiaTheme="minorHAnsi"/>
          <w:i/>
          <w:iCs/>
          <w:color w:val="000000"/>
          <w:sz w:val="28"/>
          <w:szCs w:val="28"/>
          <w:lang w:val="en-GB" w:eastAsia="en-US"/>
        </w:rPr>
        <w:t xml:space="preserve">Note 9 </w:t>
      </w:r>
      <w:r w:rsidRPr="002436BA">
        <w:rPr>
          <w:rFonts w:eastAsiaTheme="minorHAnsi"/>
          <w:color w:val="000000"/>
          <w:sz w:val="28"/>
          <w:szCs w:val="28"/>
          <w:lang w:val="en-GB" w:eastAsia="en-US"/>
        </w:rPr>
        <w:t>Alternatively a cylinder with a flat bottom, containing lead shot, can be used. The lead shot may be sealed in with molten wax so as to give the correct weight and to prevent the shot from being partially lost</w:t>
      </w:r>
    </w:p>
    <w:sectPr w:rsidR="002436BA" w:rsidRPr="002436BA">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9EF" w:rsidRDefault="007879EF" w:rsidP="0027113F">
      <w:pPr>
        <w:spacing w:line="240" w:lineRule="auto"/>
      </w:pPr>
      <w:r>
        <w:separator/>
      </w:r>
    </w:p>
  </w:endnote>
  <w:endnote w:type="continuationSeparator" w:id="0">
    <w:p w:rsidR="007879EF" w:rsidRDefault="007879EF" w:rsidP="00271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6BA" w:rsidRPr="00587F4A" w:rsidRDefault="002436BA" w:rsidP="002436BA">
    <w:pPr>
      <w:pStyle w:val="Kopfzeile"/>
      <w:jc w:val="right"/>
      <w:rPr>
        <w:rFonts w:ascii="Arial" w:hAnsi="Arial" w:cs="Arial"/>
        <w:sz w:val="20"/>
        <w:lang w:val="en-US"/>
      </w:rPr>
    </w:pPr>
    <w:proofErr w:type="gramStart"/>
    <w:r w:rsidRPr="00587F4A">
      <w:rPr>
        <w:rFonts w:ascii="Arial" w:hAnsi="Arial" w:cs="Arial"/>
        <w:sz w:val="20"/>
        <w:lang w:val="en-US"/>
      </w:rPr>
      <w:t>page</w:t>
    </w:r>
    <w:proofErr w:type="gramEnd"/>
    <w:r w:rsidRPr="00587F4A">
      <w:rPr>
        <w:rFonts w:ascii="Arial" w:hAnsi="Arial" w:cs="Arial"/>
        <w:sz w:val="20"/>
        <w:lang w:val="en-US"/>
      </w:rPr>
      <w:t xml:space="preserve"> </w:t>
    </w:r>
    <w:r w:rsidRPr="00587F4A">
      <w:rPr>
        <w:rStyle w:val="Seitenzahl"/>
        <w:rFonts w:ascii="Arial" w:hAnsi="Arial" w:cs="Arial"/>
        <w:sz w:val="20"/>
      </w:rPr>
      <w:fldChar w:fldCharType="begin"/>
    </w:r>
    <w:r w:rsidRPr="00587F4A">
      <w:rPr>
        <w:rStyle w:val="Seitenzahl"/>
        <w:rFonts w:ascii="Arial" w:hAnsi="Arial" w:cs="Arial"/>
        <w:sz w:val="20"/>
      </w:rPr>
      <w:instrText xml:space="preserve"> PAGE </w:instrText>
    </w:r>
    <w:r w:rsidRPr="00587F4A">
      <w:rPr>
        <w:rStyle w:val="Seitenzahl"/>
        <w:rFonts w:ascii="Arial" w:hAnsi="Arial" w:cs="Arial"/>
        <w:sz w:val="20"/>
      </w:rPr>
      <w:fldChar w:fldCharType="separate"/>
    </w:r>
    <w:r>
      <w:rPr>
        <w:rStyle w:val="Seitenzahl"/>
        <w:rFonts w:ascii="Arial" w:hAnsi="Arial" w:cs="Arial"/>
        <w:noProof/>
        <w:sz w:val="20"/>
      </w:rPr>
      <w:t>3</w:t>
    </w:r>
    <w:r w:rsidRPr="00587F4A">
      <w:rPr>
        <w:rStyle w:val="Seitenzahl"/>
        <w:rFonts w:ascii="Arial" w:hAnsi="Arial" w:cs="Arial"/>
        <w:sz w:val="20"/>
      </w:rPr>
      <w:fldChar w:fldCharType="end"/>
    </w:r>
    <w:r w:rsidRPr="00587F4A">
      <w:rPr>
        <w:rStyle w:val="Seitenzahl"/>
        <w:rFonts w:ascii="Arial" w:hAnsi="Arial" w:cs="Arial"/>
        <w:sz w:val="20"/>
      </w:rPr>
      <w:t xml:space="preserve"> </w:t>
    </w:r>
    <w:proofErr w:type="spellStart"/>
    <w:r w:rsidRPr="00587F4A">
      <w:rPr>
        <w:rStyle w:val="Seitenzahl"/>
        <w:rFonts w:ascii="Arial" w:hAnsi="Arial" w:cs="Arial"/>
        <w:sz w:val="20"/>
      </w:rPr>
      <w:t>of</w:t>
    </w:r>
    <w:proofErr w:type="spellEnd"/>
    <w:r w:rsidRPr="00587F4A">
      <w:rPr>
        <w:rStyle w:val="Seitenzahl"/>
        <w:rFonts w:ascii="Arial" w:hAnsi="Arial" w:cs="Arial"/>
        <w:sz w:val="20"/>
      </w:rPr>
      <w:t xml:space="preserve"> </w:t>
    </w:r>
    <w:r w:rsidRPr="00587F4A">
      <w:rPr>
        <w:rStyle w:val="Seitenzahl"/>
        <w:rFonts w:ascii="Arial" w:hAnsi="Arial" w:cs="Arial"/>
        <w:sz w:val="20"/>
      </w:rPr>
      <w:fldChar w:fldCharType="begin"/>
    </w:r>
    <w:r w:rsidRPr="00587F4A">
      <w:rPr>
        <w:rStyle w:val="Seitenzahl"/>
        <w:rFonts w:ascii="Arial" w:hAnsi="Arial" w:cs="Arial"/>
        <w:sz w:val="20"/>
      </w:rPr>
      <w:instrText xml:space="preserve"> NUMPAGES </w:instrText>
    </w:r>
    <w:r w:rsidRPr="00587F4A">
      <w:rPr>
        <w:rStyle w:val="Seitenzahl"/>
        <w:rFonts w:ascii="Arial" w:hAnsi="Arial" w:cs="Arial"/>
        <w:sz w:val="20"/>
      </w:rPr>
      <w:fldChar w:fldCharType="separate"/>
    </w:r>
    <w:r>
      <w:rPr>
        <w:rStyle w:val="Seitenzahl"/>
        <w:rFonts w:ascii="Arial" w:hAnsi="Arial" w:cs="Arial"/>
        <w:noProof/>
        <w:sz w:val="20"/>
      </w:rPr>
      <w:t>3</w:t>
    </w:r>
    <w:r w:rsidRPr="00587F4A">
      <w:rPr>
        <w:rStyle w:val="Seitenzahl"/>
        <w:rFonts w:ascii="Arial" w:hAnsi="Arial" w:cs="Arial"/>
        <w:sz w:val="20"/>
      </w:rPr>
      <w:fldChar w:fldCharType="end"/>
    </w:r>
  </w:p>
  <w:p w:rsidR="002436BA" w:rsidRDefault="002436B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9EF" w:rsidRDefault="007879EF" w:rsidP="0027113F">
      <w:pPr>
        <w:spacing w:line="240" w:lineRule="auto"/>
      </w:pPr>
      <w:r>
        <w:separator/>
      </w:r>
    </w:p>
  </w:footnote>
  <w:footnote w:type="continuationSeparator" w:id="0">
    <w:p w:rsidR="007879EF" w:rsidRDefault="007879EF" w:rsidP="0027113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13F" w:rsidRDefault="0027113F" w:rsidP="0027113F">
    <w:pPr>
      <w:pStyle w:val="Kopfzeile"/>
      <w:jc w:val="right"/>
      <w:rPr>
        <w:rFonts w:ascii="Arial" w:hAnsi="Arial" w:cs="Arial"/>
        <w:lang w:val="en-GB"/>
      </w:rPr>
    </w:pPr>
    <w:r w:rsidRPr="00AE04F6">
      <w:rPr>
        <w:rFonts w:ascii="Arial" w:hAnsi="Arial" w:cs="Arial"/>
        <w:lang w:val="en-GB"/>
      </w:rPr>
      <w:t>CIPAC 49</w:t>
    </w:r>
    <w:r>
      <w:rPr>
        <w:rFonts w:ascii="Arial" w:hAnsi="Arial" w:cs="Arial"/>
        <w:lang w:val="en-GB"/>
      </w:rPr>
      <w:t>5</w:t>
    </w:r>
    <w:r>
      <w:rPr>
        <w:rFonts w:ascii="Arial" w:hAnsi="Arial" w:cs="Arial"/>
        <w:lang w:val="en-GB"/>
      </w:rPr>
      <w:t>6</w:t>
    </w:r>
    <w:r w:rsidRPr="00AE04F6">
      <w:rPr>
        <w:rFonts w:ascii="Arial" w:hAnsi="Arial" w:cs="Arial"/>
        <w:lang w:val="en-GB"/>
      </w:rPr>
      <w:t>/m</w:t>
    </w:r>
    <w:r>
      <w:rPr>
        <w:rFonts w:ascii="Arial" w:hAnsi="Arial" w:cs="Arial"/>
        <w:lang w:val="en-GB"/>
      </w:rPr>
      <w:t xml:space="preserve"> </w:t>
    </w:r>
    <w:r>
      <w:rPr>
        <w:rFonts w:ascii="Arial" w:hAnsi="Arial" w:cs="Arial"/>
        <w:lang w:val="en-GB"/>
      </w:rPr>
      <w:t>MT 46.3</w:t>
    </w:r>
  </w:p>
  <w:p w:rsidR="0027113F" w:rsidRPr="004D61B0" w:rsidRDefault="0027113F" w:rsidP="0027113F">
    <w:pPr>
      <w:pStyle w:val="Kopfzeile"/>
      <w:jc w:val="right"/>
      <w:rPr>
        <w:rFonts w:ascii="Arial" w:hAnsi="Arial" w:cs="Arial"/>
        <w:lang w:val="en-GB"/>
      </w:rPr>
    </w:pPr>
    <w:r>
      <w:rPr>
        <w:rFonts w:ascii="Arial" w:hAnsi="Arial" w:cs="Arial"/>
        <w:lang w:val="en-GB"/>
      </w:rPr>
      <w:t>(June 2014)</w:t>
    </w:r>
  </w:p>
  <w:p w:rsidR="0027113F" w:rsidRDefault="0027113F" w:rsidP="0027113F">
    <w:pPr>
      <w:pStyle w:val="Kopfzeile"/>
      <w:jc w:val="right"/>
      <w:rPr>
        <w:lang w:val="en-US"/>
      </w:rPr>
    </w:pPr>
  </w:p>
  <w:p w:rsidR="0027113F" w:rsidRDefault="0027113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5B5758"/>
    <w:multiLevelType w:val="hybridMultilevel"/>
    <w:tmpl w:val="089EDB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13F"/>
    <w:rsid w:val="002436BA"/>
    <w:rsid w:val="0027113F"/>
    <w:rsid w:val="007879EF"/>
    <w:rsid w:val="00E838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1B187C-C5C6-442B-BFD6-EED146E7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113F"/>
    <w:pPr>
      <w:spacing w:after="0" w:line="276" w:lineRule="auto"/>
    </w:pPr>
    <w:rPr>
      <w:rFonts w:ascii="Times New Roman" w:eastAsia="MS Mincho" w:hAnsi="Times New Roman" w:cs="Times New Roman"/>
      <w:lang w:val="de-DE"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7113F"/>
    <w:pPr>
      <w:autoSpaceDE w:val="0"/>
      <w:autoSpaceDN w:val="0"/>
      <w:adjustRightInd w:val="0"/>
      <w:spacing w:after="0" w:line="240" w:lineRule="auto"/>
    </w:pPr>
    <w:rPr>
      <w:rFonts w:ascii="Times New Roman" w:hAnsi="Times New Roman" w:cs="Times New Roman"/>
      <w:color w:val="000000"/>
      <w:sz w:val="24"/>
      <w:szCs w:val="24"/>
    </w:rPr>
  </w:style>
  <w:style w:type="paragraph" w:styleId="Kopfzeile">
    <w:name w:val="header"/>
    <w:basedOn w:val="Standard"/>
    <w:link w:val="KopfzeileZchn"/>
    <w:uiPriority w:val="99"/>
    <w:unhideWhenUsed/>
    <w:rsid w:val="0027113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7113F"/>
  </w:style>
  <w:style w:type="paragraph" w:styleId="Fuzeile">
    <w:name w:val="footer"/>
    <w:basedOn w:val="Standard"/>
    <w:link w:val="FuzeileZchn"/>
    <w:uiPriority w:val="99"/>
    <w:unhideWhenUsed/>
    <w:rsid w:val="0027113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7113F"/>
  </w:style>
  <w:style w:type="character" w:styleId="Seitenzahl">
    <w:name w:val="page number"/>
    <w:basedOn w:val="Absatz-Standardschriftart"/>
    <w:rsid w:val="00243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pac.org/prepubm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3786</Characters>
  <Application>Microsoft Office Word</Application>
  <DocSecurity>0</DocSecurity>
  <Lines>31</Lines>
  <Paragraphs>8</Paragraphs>
  <ScaleCrop>false</ScaleCrop>
  <Company/>
  <LinksUpToDate>false</LinksUpToDate>
  <CharactersWithSpaces>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 46.3 Method extension LN</dc:title>
  <dc:subject/>
  <dc:creator>O. Pigeon,;Bruno Patrian</dc:creator>
  <cp:keywords/>
  <dc:description/>
  <cp:lastModifiedBy>Bruno Patrian</cp:lastModifiedBy>
  <cp:revision>2</cp:revision>
  <dcterms:created xsi:type="dcterms:W3CDTF">2015-02-01T11:13:00Z</dcterms:created>
  <dcterms:modified xsi:type="dcterms:W3CDTF">2015-02-01T11:30:00Z</dcterms:modified>
</cp:coreProperties>
</file>