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C4" w:rsidRDefault="00FC08C4" w:rsidP="00A027D1">
      <w:pPr>
        <w:ind w:left="5025"/>
        <w:jc w:val="both"/>
      </w:pPr>
    </w:p>
    <w:p w:rsidR="003702ED" w:rsidRDefault="003702ED" w:rsidP="00A027D1">
      <w:pPr>
        <w:ind w:left="5025"/>
        <w:jc w:val="both"/>
      </w:pPr>
    </w:p>
    <w:p w:rsidR="003702ED" w:rsidRDefault="003702ED" w:rsidP="003702ED">
      <w:pPr>
        <w:ind w:right="1"/>
        <w:jc w:val="center"/>
        <w:rPr>
          <w:rFonts w:ascii="Arial" w:hAnsi="Arial"/>
          <w:color w:val="008000"/>
          <w:sz w:val="28"/>
          <w:lang w:val="fr-FR"/>
        </w:rPr>
      </w:pPr>
      <w:r>
        <w:rPr>
          <w:rFonts w:ascii="Arial" w:hAnsi="Arial"/>
          <w:b/>
          <w:color w:val="008000"/>
          <w:sz w:val="48"/>
          <w:lang w:val="fr-FR"/>
        </w:rPr>
        <w:t>CIPAC</w:t>
      </w:r>
    </w:p>
    <w:p w:rsidR="003702ED" w:rsidRDefault="003702ED" w:rsidP="003702ED">
      <w:pPr>
        <w:jc w:val="center"/>
        <w:rPr>
          <w:rFonts w:ascii="Arial" w:hAnsi="Arial"/>
          <w:sz w:val="28"/>
          <w:lang w:val="fr-FR"/>
        </w:rPr>
      </w:pPr>
    </w:p>
    <w:p w:rsidR="003702ED" w:rsidRDefault="003702ED" w:rsidP="003702ED">
      <w:pPr>
        <w:jc w:val="center"/>
        <w:rPr>
          <w:rFonts w:ascii="Arial" w:hAnsi="Arial"/>
          <w:sz w:val="28"/>
          <w:lang w:val="fr-FR"/>
        </w:rPr>
      </w:pPr>
      <w:r>
        <w:rPr>
          <w:rFonts w:ascii="Arial" w:hAnsi="Arial"/>
          <w:lang w:val="fr-FR"/>
        </w:rPr>
        <w:t>COLLABORATIVE INTERNATIONAL PESTICIDES ANALYTICAL COUNCIL LIMITED</w:t>
      </w:r>
      <w:bookmarkStart w:id="0" w:name="_GoBack"/>
      <w:bookmarkEnd w:id="0"/>
    </w:p>
    <w:p w:rsidR="003702ED" w:rsidRDefault="003702ED" w:rsidP="003702ED">
      <w:pPr>
        <w:jc w:val="both"/>
        <w:rPr>
          <w:rFonts w:ascii="Arial" w:hAnsi="Arial"/>
          <w:lang w:val="fr-FR"/>
        </w:rPr>
      </w:pPr>
    </w:p>
    <w:p w:rsidR="003702ED" w:rsidRDefault="003702ED" w:rsidP="003702ED">
      <w:pPr>
        <w:jc w:val="center"/>
        <w:rPr>
          <w:rFonts w:ascii="Arial" w:hAnsi="Arial"/>
          <w:lang w:val="fr-FR"/>
        </w:rPr>
      </w:pPr>
      <w:r>
        <w:rPr>
          <w:rFonts w:ascii="Arial" w:hAnsi="Arial"/>
          <w:lang w:val="fr-FR"/>
        </w:rPr>
        <w:t>Commission Internationale des Méthodes d'Analyse des Pesticides (CIMAP)</w:t>
      </w:r>
    </w:p>
    <w:p w:rsidR="003702ED" w:rsidRDefault="003702ED" w:rsidP="003702ED">
      <w:pPr>
        <w:rPr>
          <w:lang w:val="fr-FR"/>
        </w:rPr>
      </w:pPr>
    </w:p>
    <w:p w:rsidR="003702ED" w:rsidRDefault="003702ED" w:rsidP="003702ED">
      <w:pPr>
        <w:rPr>
          <w:lang w:val="fr-FR"/>
        </w:rPr>
      </w:pPr>
    </w:p>
    <w:p w:rsidR="003702ED" w:rsidRPr="009C1F67" w:rsidRDefault="003702ED" w:rsidP="003702ED">
      <w:pPr>
        <w:autoSpaceDE w:val="0"/>
        <w:autoSpaceDN w:val="0"/>
        <w:adjustRightInd w:val="0"/>
        <w:rPr>
          <w:rFonts w:ascii="Arial" w:hAnsi="Arial" w:cs="Arial"/>
          <w:b/>
          <w:lang w:eastAsia="de-DE"/>
        </w:rPr>
      </w:pPr>
      <w:r w:rsidRPr="009C1F67">
        <w:rPr>
          <w:rFonts w:ascii="Arial" w:hAnsi="Arial" w:cs="Arial"/>
          <w:b/>
          <w:lang w:eastAsia="de-DE"/>
        </w:rPr>
        <w:t xml:space="preserve">CIPAC </w:t>
      </w:r>
      <w:proofErr w:type="spellStart"/>
      <w:r w:rsidRPr="009C1F67">
        <w:rPr>
          <w:rFonts w:ascii="Arial" w:hAnsi="Arial" w:cs="Arial"/>
          <w:b/>
          <w:lang w:eastAsia="de-DE"/>
        </w:rPr>
        <w:t>Prepublished</w:t>
      </w:r>
      <w:proofErr w:type="spellEnd"/>
      <w:r w:rsidRPr="009C1F67">
        <w:rPr>
          <w:rFonts w:ascii="Arial" w:hAnsi="Arial" w:cs="Arial"/>
          <w:b/>
          <w:lang w:eastAsia="de-DE"/>
        </w:rPr>
        <w:t xml:space="preserve"> Methods:</w:t>
      </w:r>
    </w:p>
    <w:p w:rsidR="003702ED" w:rsidRPr="0022580E" w:rsidRDefault="003702ED" w:rsidP="003702ED">
      <w:pPr>
        <w:autoSpaceDE w:val="0"/>
        <w:autoSpaceDN w:val="0"/>
        <w:adjustRightInd w:val="0"/>
        <w:rPr>
          <w:rFonts w:ascii="Arial" w:hAnsi="Arial" w:cs="Arial"/>
          <w:lang w:eastAsia="de-DE"/>
        </w:rPr>
      </w:pPr>
      <w:r w:rsidRPr="0022580E">
        <w:rPr>
          <w:rFonts w:ascii="Arial" w:hAnsi="Arial" w:cs="Arial"/>
          <w:lang w:eastAsia="de-DE"/>
        </w:rPr>
        <w:t xml:space="preserve">Adopted CIPAC </w:t>
      </w:r>
      <w:r>
        <w:rPr>
          <w:rFonts w:ascii="Arial" w:hAnsi="Arial" w:cs="Arial"/>
          <w:lang w:eastAsia="de-DE"/>
        </w:rPr>
        <w:t>m</w:t>
      </w:r>
      <w:r w:rsidRPr="0022580E">
        <w:rPr>
          <w:rFonts w:ascii="Arial" w:hAnsi="Arial" w:cs="Arial"/>
          <w:lang w:eastAsia="de-DE"/>
        </w:rPr>
        <w:t>ethods are available on a per-method basis</w:t>
      </w:r>
      <w:r>
        <w:rPr>
          <w:rFonts w:ascii="Arial" w:hAnsi="Arial" w:cs="Arial"/>
          <w:lang w:eastAsia="de-DE"/>
        </w:rPr>
        <w:t xml:space="preserve"> as pdf-file</w:t>
      </w:r>
      <w:r w:rsidRPr="0022580E">
        <w:rPr>
          <w:rFonts w:ascii="Arial" w:hAnsi="Arial" w:cs="Arial"/>
          <w:lang w:eastAsia="de-DE"/>
        </w:rPr>
        <w:t xml:space="preserve">, as long as they are not yet published in a Handbook. CIPAC charges a nominal fee per method. The </w:t>
      </w:r>
      <w:r>
        <w:rPr>
          <w:rFonts w:ascii="Arial" w:hAnsi="Arial" w:cs="Arial"/>
          <w:lang w:eastAsia="de-DE"/>
        </w:rPr>
        <w:t xml:space="preserve">list on the </w:t>
      </w:r>
      <w:r w:rsidRPr="0022580E">
        <w:rPr>
          <w:rFonts w:ascii="Arial" w:hAnsi="Arial" w:cs="Arial"/>
          <w:lang w:eastAsia="de-DE"/>
        </w:rPr>
        <w:t xml:space="preserve">order form is exhaustive, which means that methods which are not on the list are not available. The </w:t>
      </w:r>
      <w:r>
        <w:rPr>
          <w:rFonts w:ascii="Arial" w:hAnsi="Arial" w:cs="Arial"/>
          <w:lang w:eastAsia="de-DE"/>
        </w:rPr>
        <w:t xml:space="preserve">list of </w:t>
      </w:r>
      <w:r w:rsidRPr="0022580E">
        <w:rPr>
          <w:rFonts w:ascii="Arial" w:hAnsi="Arial" w:cs="Arial"/>
          <w:lang w:eastAsia="de-DE"/>
        </w:rPr>
        <w:t xml:space="preserve">methods </w:t>
      </w:r>
      <w:r>
        <w:rPr>
          <w:rFonts w:ascii="Arial" w:hAnsi="Arial" w:cs="Arial"/>
          <w:lang w:eastAsia="de-DE"/>
        </w:rPr>
        <w:t xml:space="preserve">(see </w:t>
      </w:r>
      <w:hyperlink r:id="rId11" w:history="1">
        <w:r w:rsidRPr="00F72B43">
          <w:rPr>
            <w:rStyle w:val="Hyperlink"/>
            <w:rFonts w:ascii="Arial" w:hAnsi="Arial" w:cs="Arial"/>
            <w:lang w:eastAsia="de-DE"/>
          </w:rPr>
          <w:t>http://www.cipac.org/prepubme.htm</w:t>
        </w:r>
      </w:hyperlink>
      <w:r>
        <w:rPr>
          <w:rFonts w:ascii="Arial" w:hAnsi="Arial" w:cs="Arial"/>
          <w:lang w:eastAsia="de-DE"/>
        </w:rPr>
        <w:t xml:space="preserve">) </w:t>
      </w:r>
      <w:r w:rsidRPr="0022580E">
        <w:rPr>
          <w:rFonts w:ascii="Arial" w:hAnsi="Arial" w:cs="Arial"/>
          <w:lang w:eastAsia="de-DE"/>
        </w:rPr>
        <w:t>cover</w:t>
      </w:r>
      <w:r>
        <w:rPr>
          <w:rFonts w:ascii="Arial" w:hAnsi="Arial" w:cs="Arial"/>
          <w:lang w:eastAsia="de-DE"/>
        </w:rPr>
        <w:t>s</w:t>
      </w:r>
      <w:r w:rsidRPr="0022580E">
        <w:rPr>
          <w:rFonts w:ascii="Arial" w:hAnsi="Arial" w:cs="Arial"/>
          <w:lang w:eastAsia="de-DE"/>
        </w:rPr>
        <w:t xml:space="preserve"> the time period of adoption </w:t>
      </w:r>
      <w:r>
        <w:rPr>
          <w:rFonts w:ascii="Arial" w:hAnsi="Arial" w:cs="Arial"/>
          <w:lang w:eastAsia="de-DE"/>
        </w:rPr>
        <w:t xml:space="preserve">of methods at </w:t>
      </w:r>
      <w:proofErr w:type="gramStart"/>
      <w:r>
        <w:rPr>
          <w:rFonts w:ascii="Arial" w:hAnsi="Arial" w:cs="Arial"/>
          <w:lang w:eastAsia="de-DE"/>
        </w:rPr>
        <w:t xml:space="preserve">the </w:t>
      </w:r>
      <w:r w:rsidRPr="00A672ED">
        <w:rPr>
          <w:rFonts w:ascii="Arial" w:hAnsi="Arial" w:cs="Arial"/>
          <w:lang w:eastAsia="de-DE"/>
        </w:rPr>
        <w:t>from</w:t>
      </w:r>
      <w:proofErr w:type="gramEnd"/>
      <w:r w:rsidRPr="00A672ED">
        <w:rPr>
          <w:rFonts w:ascii="Arial" w:hAnsi="Arial" w:cs="Arial"/>
          <w:lang w:eastAsia="de-DE"/>
        </w:rPr>
        <w:t xml:space="preserve"> going to press of Handbook O (summer 2012) to</w:t>
      </w:r>
      <w:r>
        <w:rPr>
          <w:rFonts w:ascii="Arial" w:hAnsi="Arial" w:cs="Arial"/>
          <w:lang w:eastAsia="de-DE"/>
        </w:rPr>
        <w:t xml:space="preserve"> </w:t>
      </w:r>
      <w:r w:rsidRPr="00A672ED">
        <w:rPr>
          <w:rFonts w:ascii="Arial" w:hAnsi="Arial" w:cs="Arial"/>
          <w:lang w:eastAsia="de-DE"/>
        </w:rPr>
        <w:t>present (</w:t>
      </w:r>
      <w:r>
        <w:rPr>
          <w:rFonts w:ascii="Arial" w:hAnsi="Arial" w:cs="Arial"/>
          <w:lang w:eastAsia="de-DE"/>
        </w:rPr>
        <w:t>Septe</w:t>
      </w:r>
      <w:r w:rsidRPr="00A672ED">
        <w:rPr>
          <w:rFonts w:ascii="Arial" w:hAnsi="Arial" w:cs="Arial"/>
          <w:lang w:eastAsia="de-DE"/>
        </w:rPr>
        <w:t>mb</w:t>
      </w:r>
      <w:r>
        <w:rPr>
          <w:rFonts w:ascii="Arial" w:hAnsi="Arial" w:cs="Arial"/>
          <w:lang w:eastAsia="de-DE"/>
        </w:rPr>
        <w:t>er 2014</w:t>
      </w:r>
      <w:r w:rsidRPr="00A672ED">
        <w:rPr>
          <w:rFonts w:ascii="Arial" w:hAnsi="Arial" w:cs="Arial"/>
          <w:lang w:eastAsia="de-DE"/>
        </w:rPr>
        <w:t xml:space="preserve">, after CIPAC Meeting in </w:t>
      </w:r>
      <w:r>
        <w:rPr>
          <w:rFonts w:ascii="Arial" w:hAnsi="Arial" w:cs="Arial"/>
          <w:lang w:eastAsia="de-DE"/>
        </w:rPr>
        <w:t>Liège</w:t>
      </w:r>
      <w:r w:rsidRPr="00A672ED">
        <w:rPr>
          <w:rFonts w:ascii="Arial" w:hAnsi="Arial" w:cs="Arial"/>
          <w:lang w:eastAsia="de-DE"/>
        </w:rPr>
        <w:t xml:space="preserve">, </w:t>
      </w:r>
      <w:r>
        <w:rPr>
          <w:rFonts w:ascii="Arial" w:hAnsi="Arial" w:cs="Arial"/>
          <w:lang w:eastAsia="de-DE"/>
        </w:rPr>
        <w:t>Belgium</w:t>
      </w:r>
      <w:r w:rsidRPr="00A672ED">
        <w:rPr>
          <w:rFonts w:ascii="Arial" w:hAnsi="Arial" w:cs="Arial"/>
          <w:lang w:eastAsia="de-DE"/>
        </w:rPr>
        <w:t>).</w:t>
      </w:r>
      <w:r>
        <w:rPr>
          <w:rFonts w:ascii="Arial" w:hAnsi="Arial" w:cs="Arial"/>
          <w:lang w:eastAsia="de-DE"/>
        </w:rPr>
        <w:t xml:space="preserve"> For further details see </w:t>
      </w:r>
      <w:proofErr w:type="spellStart"/>
      <w:r>
        <w:rPr>
          <w:rFonts w:ascii="Arial" w:hAnsi="Arial" w:cs="Arial"/>
          <w:lang w:eastAsia="de-DE"/>
        </w:rPr>
        <w:t>prepublished</w:t>
      </w:r>
      <w:proofErr w:type="spellEnd"/>
      <w:r>
        <w:rPr>
          <w:rFonts w:ascii="Arial" w:hAnsi="Arial" w:cs="Arial"/>
          <w:lang w:eastAsia="de-DE"/>
        </w:rPr>
        <w:t xml:space="preserve"> order form.</w:t>
      </w:r>
    </w:p>
    <w:p w:rsidR="003702ED" w:rsidRPr="0022580E" w:rsidRDefault="003702ED" w:rsidP="003702ED">
      <w:pPr>
        <w:jc w:val="center"/>
        <w:rPr>
          <w:spacing w:val="-3"/>
        </w:rPr>
      </w:pPr>
    </w:p>
    <w:p w:rsidR="003702ED" w:rsidRPr="009C1F67" w:rsidRDefault="003702ED" w:rsidP="003702ED">
      <w:pPr>
        <w:autoSpaceDE w:val="0"/>
        <w:autoSpaceDN w:val="0"/>
        <w:adjustRightInd w:val="0"/>
        <w:rPr>
          <w:rFonts w:ascii="Arial" w:hAnsi="Arial" w:cs="Arial"/>
          <w:b/>
          <w:lang w:eastAsia="de-DE"/>
        </w:rPr>
      </w:pPr>
      <w:r w:rsidRPr="009C1F67">
        <w:rPr>
          <w:rFonts w:ascii="Arial" w:hAnsi="Arial" w:cs="Arial"/>
          <w:b/>
          <w:lang w:eastAsia="de-DE"/>
        </w:rPr>
        <w:t>Terms of Use</w:t>
      </w:r>
      <w:r>
        <w:rPr>
          <w:rFonts w:ascii="Arial" w:hAnsi="Arial" w:cs="Arial"/>
          <w:b/>
          <w:lang w:eastAsia="de-DE"/>
        </w:rPr>
        <w:t>:</w:t>
      </w:r>
    </w:p>
    <w:p w:rsidR="003702ED" w:rsidRPr="009C1F67" w:rsidRDefault="003702ED" w:rsidP="003702ED">
      <w:pPr>
        <w:autoSpaceDE w:val="0"/>
        <w:autoSpaceDN w:val="0"/>
        <w:adjustRightInd w:val="0"/>
        <w:rPr>
          <w:rFonts w:ascii="Arial" w:hAnsi="Arial" w:cs="Arial"/>
          <w:lang w:eastAsia="de-DE"/>
        </w:rPr>
      </w:pPr>
      <w:r w:rsidRPr="009C1F67">
        <w:rPr>
          <w:rFonts w:ascii="Arial" w:hAnsi="Arial" w:cs="Arial"/>
          <w:lang w:eastAsia="de-DE"/>
        </w:rPr>
        <w:t>By ordering one or more of these methods, the user accepts the conditions of use as follows:</w:t>
      </w:r>
    </w:p>
    <w:p w:rsidR="003702ED" w:rsidRPr="009C1F67" w:rsidRDefault="003702ED" w:rsidP="003702ED">
      <w:pPr>
        <w:numPr>
          <w:ilvl w:val="0"/>
          <w:numId w:val="16"/>
        </w:numPr>
        <w:autoSpaceDE w:val="0"/>
        <w:autoSpaceDN w:val="0"/>
        <w:adjustRightInd w:val="0"/>
        <w:rPr>
          <w:rFonts w:ascii="Arial" w:hAnsi="Arial" w:cs="Arial"/>
          <w:lang w:eastAsia="de-DE"/>
        </w:rPr>
      </w:pPr>
      <w:r w:rsidRPr="009C1F67">
        <w:rPr>
          <w:rFonts w:ascii="Arial" w:hAnsi="Arial" w:cs="Arial"/>
          <w:lang w:eastAsia="de-DE"/>
        </w:rPr>
        <w:t>these are draft methods and are subject to revision without further notice</w:t>
      </w:r>
    </w:p>
    <w:p w:rsidR="003702ED" w:rsidRPr="009C1F67" w:rsidRDefault="003702ED" w:rsidP="003702ED">
      <w:pPr>
        <w:numPr>
          <w:ilvl w:val="0"/>
          <w:numId w:val="16"/>
        </w:numPr>
        <w:autoSpaceDE w:val="0"/>
        <w:autoSpaceDN w:val="0"/>
        <w:adjustRightInd w:val="0"/>
        <w:rPr>
          <w:rFonts w:ascii="Arial" w:hAnsi="Arial" w:cs="Arial"/>
          <w:lang w:eastAsia="de-DE"/>
        </w:rPr>
      </w:pPr>
      <w:proofErr w:type="gramStart"/>
      <w:r w:rsidRPr="009C1F67">
        <w:rPr>
          <w:rFonts w:ascii="Arial" w:hAnsi="Arial" w:cs="Arial"/>
          <w:lang w:eastAsia="de-DE"/>
        </w:rPr>
        <w:t>these</w:t>
      </w:r>
      <w:proofErr w:type="gramEnd"/>
      <w:r w:rsidRPr="009C1F67">
        <w:rPr>
          <w:rFonts w:ascii="Arial" w:hAnsi="Arial" w:cs="Arial"/>
          <w:lang w:eastAsia="de-DE"/>
        </w:rPr>
        <w:t xml:space="preserve"> methods will appear in revised and edited form in CIPAC Handbook </w:t>
      </w:r>
      <w:r>
        <w:rPr>
          <w:rFonts w:ascii="Arial" w:hAnsi="Arial" w:cs="Arial"/>
          <w:lang w:eastAsia="de-DE"/>
        </w:rPr>
        <w:t xml:space="preserve">O </w:t>
      </w:r>
      <w:r w:rsidRPr="009C1F67">
        <w:rPr>
          <w:rFonts w:ascii="Arial" w:hAnsi="Arial" w:cs="Arial"/>
          <w:lang w:eastAsia="de-DE"/>
        </w:rPr>
        <w:t>presumably in the year 20</w:t>
      </w:r>
      <w:r>
        <w:rPr>
          <w:rFonts w:ascii="Arial" w:hAnsi="Arial" w:cs="Arial"/>
          <w:lang w:eastAsia="de-DE"/>
        </w:rPr>
        <w:t>15</w:t>
      </w:r>
      <w:r w:rsidRPr="009C1F67">
        <w:rPr>
          <w:rFonts w:ascii="Arial" w:hAnsi="Arial" w:cs="Arial"/>
          <w:lang w:eastAsia="de-DE"/>
        </w:rPr>
        <w:t xml:space="preserve">. The </w:t>
      </w:r>
      <w:proofErr w:type="spellStart"/>
      <w:r w:rsidRPr="009C1F67">
        <w:rPr>
          <w:rFonts w:ascii="Arial" w:hAnsi="Arial" w:cs="Arial"/>
          <w:lang w:eastAsia="de-DE"/>
        </w:rPr>
        <w:t>prepublished</w:t>
      </w:r>
      <w:proofErr w:type="spellEnd"/>
      <w:r w:rsidRPr="009C1F67">
        <w:rPr>
          <w:rFonts w:ascii="Arial" w:hAnsi="Arial" w:cs="Arial"/>
          <w:lang w:eastAsia="de-DE"/>
        </w:rPr>
        <w:t xml:space="preserve"> methods expire as soon as they appear in printed form in the CIPAC Handbook </w:t>
      </w:r>
      <w:r>
        <w:rPr>
          <w:rFonts w:ascii="Arial" w:hAnsi="Arial" w:cs="Arial"/>
          <w:lang w:eastAsia="de-DE"/>
        </w:rPr>
        <w:t>O</w:t>
      </w:r>
      <w:r w:rsidRPr="009C1F67">
        <w:rPr>
          <w:rFonts w:ascii="Arial" w:hAnsi="Arial" w:cs="Arial"/>
          <w:lang w:eastAsia="de-DE"/>
        </w:rPr>
        <w:t>.</w:t>
      </w:r>
    </w:p>
    <w:p w:rsidR="003702ED" w:rsidRPr="00FC3324" w:rsidRDefault="003702ED" w:rsidP="003702ED">
      <w:pPr>
        <w:numPr>
          <w:ilvl w:val="0"/>
          <w:numId w:val="16"/>
        </w:numPr>
        <w:autoSpaceDE w:val="0"/>
        <w:autoSpaceDN w:val="0"/>
        <w:adjustRightInd w:val="0"/>
      </w:pPr>
      <w:r w:rsidRPr="009C1F67">
        <w:rPr>
          <w:rFonts w:ascii="Arial" w:hAnsi="Arial" w:cs="Arial"/>
          <w:lang w:eastAsia="de-DE"/>
        </w:rPr>
        <w:t xml:space="preserve">The CIPAC copyright and disclaimer (cf. CIPAC Handbook </w:t>
      </w:r>
      <w:r>
        <w:rPr>
          <w:rFonts w:ascii="Arial" w:hAnsi="Arial" w:cs="Arial"/>
          <w:lang w:eastAsia="de-DE"/>
        </w:rPr>
        <w:t>N</w:t>
      </w:r>
      <w:r w:rsidRPr="009C1F67">
        <w:rPr>
          <w:rFonts w:ascii="Arial" w:hAnsi="Arial" w:cs="Arial"/>
          <w:lang w:eastAsia="de-DE"/>
        </w:rPr>
        <w:t xml:space="preserve">, page ii) applies to all </w:t>
      </w:r>
      <w:proofErr w:type="spellStart"/>
      <w:r w:rsidRPr="009C1F67">
        <w:rPr>
          <w:rFonts w:ascii="Arial" w:hAnsi="Arial" w:cs="Arial"/>
          <w:lang w:eastAsia="de-DE"/>
        </w:rPr>
        <w:t>prepublished</w:t>
      </w:r>
      <w:proofErr w:type="spellEnd"/>
      <w:r w:rsidRPr="009C1F67">
        <w:rPr>
          <w:rFonts w:ascii="Arial" w:hAnsi="Arial" w:cs="Arial"/>
          <w:lang w:eastAsia="de-DE"/>
        </w:rPr>
        <w:t xml:space="preserve"> methods.</w:t>
      </w:r>
    </w:p>
    <w:p w:rsidR="003702ED" w:rsidRDefault="003702ED" w:rsidP="003702ED">
      <w:pPr>
        <w:autoSpaceDE w:val="0"/>
        <w:autoSpaceDN w:val="0"/>
        <w:adjustRightInd w:val="0"/>
        <w:rPr>
          <w:rFonts w:ascii="Arial" w:hAnsi="Arial" w:cs="Arial"/>
          <w:lang w:eastAsia="de-DE"/>
        </w:rPr>
      </w:pPr>
    </w:p>
    <w:p w:rsidR="003702ED" w:rsidRPr="005E7B02" w:rsidRDefault="003702ED" w:rsidP="003702ED">
      <w:pPr>
        <w:autoSpaceDE w:val="0"/>
        <w:autoSpaceDN w:val="0"/>
        <w:adjustRightInd w:val="0"/>
        <w:rPr>
          <w:rFonts w:ascii="Arial" w:hAnsi="Arial" w:cs="Arial"/>
          <w:lang w:eastAsia="de-DE"/>
        </w:rPr>
      </w:pPr>
    </w:p>
    <w:p w:rsidR="003702ED" w:rsidRDefault="003702ED">
      <w:r>
        <w:br w:type="page"/>
      </w:r>
    </w:p>
    <w:p w:rsidR="00E470B5" w:rsidRDefault="00E470B5" w:rsidP="00A027D1">
      <w:pPr>
        <w:ind w:left="5025"/>
        <w:jc w:val="both"/>
      </w:pPr>
    </w:p>
    <w:p w:rsidR="00E470B5" w:rsidRDefault="00E470B5" w:rsidP="00A027D1">
      <w:pPr>
        <w:ind w:left="5025"/>
        <w:jc w:val="both"/>
      </w:pPr>
    </w:p>
    <w:p w:rsidR="003702ED" w:rsidRPr="003642B3" w:rsidRDefault="003642B3" w:rsidP="003642B3">
      <w:pPr>
        <w:rPr>
          <w:b/>
          <w:sz w:val="28"/>
          <w:szCs w:val="28"/>
        </w:rPr>
      </w:pPr>
      <w:r w:rsidRPr="003642B3">
        <w:rPr>
          <w:b/>
          <w:sz w:val="28"/>
          <w:szCs w:val="28"/>
        </w:rPr>
        <w:t xml:space="preserve">MT </w:t>
      </w:r>
      <w:proofErr w:type="gramStart"/>
      <w:r w:rsidRPr="003642B3">
        <w:rPr>
          <w:b/>
          <w:sz w:val="28"/>
          <w:szCs w:val="28"/>
        </w:rPr>
        <w:t xml:space="preserve">199  </w:t>
      </w:r>
      <w:r w:rsidR="003702ED" w:rsidRPr="003642B3">
        <w:rPr>
          <w:b/>
          <w:sz w:val="28"/>
          <w:szCs w:val="28"/>
        </w:rPr>
        <w:t>Determination</w:t>
      </w:r>
      <w:proofErr w:type="gramEnd"/>
      <w:r w:rsidR="003702ED" w:rsidRPr="003642B3">
        <w:rPr>
          <w:b/>
          <w:sz w:val="28"/>
          <w:szCs w:val="28"/>
        </w:rPr>
        <w:t xml:space="preserve"> of Quaternary Ammonium Compounds by Potentiometric Titration with an Ionic Surfactant Electrode</w:t>
      </w:r>
    </w:p>
    <w:p w:rsidR="00A027D1" w:rsidRDefault="00A027D1" w:rsidP="00A027D1"/>
    <w:p w:rsidR="003702ED" w:rsidRDefault="003702ED" w:rsidP="00A027D1"/>
    <w:p w:rsidR="00A027D1" w:rsidRPr="003642B3" w:rsidRDefault="00D74762" w:rsidP="00D74762">
      <w:pPr>
        <w:pStyle w:val="Listenabsatz"/>
        <w:numPr>
          <w:ilvl w:val="0"/>
          <w:numId w:val="10"/>
        </w:numPr>
        <w:rPr>
          <w:b/>
        </w:rPr>
      </w:pPr>
      <w:r w:rsidRPr="003642B3">
        <w:rPr>
          <w:b/>
        </w:rPr>
        <w:t>General information on Quaternary Ammonium Compounds:</w:t>
      </w:r>
    </w:p>
    <w:p w:rsidR="00D74762" w:rsidRDefault="00D74762" w:rsidP="00D74762"/>
    <w:p w:rsidR="00D74762" w:rsidRDefault="00D74762" w:rsidP="00D74762"/>
    <w:p w:rsidR="00D74762" w:rsidRDefault="00D74762" w:rsidP="00D74762">
      <w:r>
        <w:rPr>
          <w:noProof/>
          <w:lang w:val="de-CH" w:eastAsia="de-CH"/>
        </w:rPr>
        <w:drawing>
          <wp:inline distT="0" distB="0" distL="0" distR="0">
            <wp:extent cx="2762250" cy="2930023"/>
            <wp:effectExtent l="0" t="0" r="0" b="0"/>
            <wp:docPr id="1" name="Picture 0" descr="461px-Quaternary_ammonium_cation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px-Quaternary_ammonium_cation_svg.png"/>
                    <pic:cNvPicPr/>
                  </pic:nvPicPr>
                  <pic:blipFill>
                    <a:blip r:embed="rId12" cstate="print"/>
                    <a:stretch>
                      <a:fillRect/>
                    </a:stretch>
                  </pic:blipFill>
                  <pic:spPr>
                    <a:xfrm>
                      <a:off x="0" y="0"/>
                      <a:ext cx="2762364" cy="2930144"/>
                    </a:xfrm>
                    <a:prstGeom prst="rect">
                      <a:avLst/>
                    </a:prstGeom>
                  </pic:spPr>
                </pic:pic>
              </a:graphicData>
            </a:graphic>
          </wp:inline>
        </w:drawing>
      </w:r>
    </w:p>
    <w:p w:rsidR="00D74762" w:rsidRDefault="00D74762" w:rsidP="00D74762"/>
    <w:p w:rsidR="00D74762" w:rsidRDefault="00D74762" w:rsidP="00D74762"/>
    <w:p w:rsidR="00A027D1" w:rsidRPr="00E233B2" w:rsidRDefault="00A43FFF" w:rsidP="005035CE">
      <w:pPr>
        <w:jc w:val="both"/>
      </w:pPr>
      <w:r w:rsidRPr="00E233B2">
        <w:t xml:space="preserve">The R groups can vary. </w:t>
      </w:r>
      <w:r w:rsidR="00344349" w:rsidRPr="00E233B2">
        <w:t>E</w:t>
      </w:r>
      <w:r w:rsidRPr="00E233B2">
        <w:t>xamples of R groups:</w:t>
      </w:r>
    </w:p>
    <w:p w:rsidR="00A43FFF" w:rsidRPr="00E233B2" w:rsidRDefault="00A43FFF" w:rsidP="005035CE">
      <w:pPr>
        <w:jc w:val="both"/>
      </w:pPr>
    </w:p>
    <w:p w:rsidR="00A43FFF" w:rsidRPr="00E233B2" w:rsidRDefault="00A43FFF" w:rsidP="00A43FFF">
      <w:pPr>
        <w:jc w:val="both"/>
        <w:rPr>
          <w:sz w:val="20"/>
          <w:szCs w:val="20"/>
        </w:rPr>
      </w:pPr>
      <w:r w:rsidRPr="00E233B2">
        <w:rPr>
          <w:sz w:val="20"/>
          <w:szCs w:val="20"/>
        </w:rPr>
        <w:t>ALKYL DIMETHYL BENZYL AMMONIUM CHLORIDE</w:t>
      </w:r>
    </w:p>
    <w:p w:rsidR="00A43FFF" w:rsidRPr="00E233B2" w:rsidRDefault="00A43FFF" w:rsidP="00A43FFF">
      <w:pPr>
        <w:jc w:val="both"/>
        <w:rPr>
          <w:sz w:val="20"/>
          <w:szCs w:val="20"/>
        </w:rPr>
      </w:pPr>
      <w:r w:rsidRPr="00E233B2">
        <w:rPr>
          <w:sz w:val="20"/>
          <w:szCs w:val="20"/>
        </w:rPr>
        <w:t>ALKYL DIMETHYLBENZYL DIMETHYL AMMONIUM CHLORIDE</w:t>
      </w:r>
    </w:p>
    <w:p w:rsidR="00B05488" w:rsidRPr="00E233B2" w:rsidRDefault="00B05488" w:rsidP="00B05488">
      <w:pPr>
        <w:jc w:val="both"/>
        <w:rPr>
          <w:sz w:val="20"/>
          <w:szCs w:val="20"/>
        </w:rPr>
      </w:pPr>
      <w:r w:rsidRPr="00E233B2">
        <w:rPr>
          <w:sz w:val="20"/>
          <w:szCs w:val="20"/>
        </w:rPr>
        <w:t>ALKYL DIMETHYL ETHYLBENZYL AMMONIUM BROMIDE</w:t>
      </w:r>
    </w:p>
    <w:p w:rsidR="00B05488" w:rsidRPr="00E233B2" w:rsidRDefault="00B05488" w:rsidP="00B05488">
      <w:pPr>
        <w:jc w:val="both"/>
        <w:rPr>
          <w:sz w:val="20"/>
          <w:szCs w:val="20"/>
        </w:rPr>
      </w:pPr>
      <w:r w:rsidRPr="00E233B2">
        <w:rPr>
          <w:sz w:val="20"/>
          <w:szCs w:val="20"/>
        </w:rPr>
        <w:t>OCTYL DECYL DIMETHYL AMMONIUM CHLORIDE</w:t>
      </w:r>
    </w:p>
    <w:p w:rsidR="00B05488" w:rsidRPr="00E233B2" w:rsidRDefault="00B05488" w:rsidP="00B05488">
      <w:pPr>
        <w:jc w:val="both"/>
        <w:rPr>
          <w:sz w:val="20"/>
          <w:szCs w:val="20"/>
        </w:rPr>
      </w:pPr>
    </w:p>
    <w:p w:rsidR="00B05488" w:rsidRPr="00E233B2" w:rsidRDefault="00B05488" w:rsidP="00B05488">
      <w:pPr>
        <w:jc w:val="both"/>
        <w:rPr>
          <w:sz w:val="20"/>
          <w:szCs w:val="20"/>
        </w:rPr>
      </w:pPr>
      <w:r w:rsidRPr="00E233B2">
        <w:rPr>
          <w:sz w:val="20"/>
          <w:szCs w:val="20"/>
        </w:rPr>
        <w:t>Note</w:t>
      </w:r>
      <w:r w:rsidR="00484D05" w:rsidRPr="00E233B2">
        <w:rPr>
          <w:sz w:val="20"/>
          <w:szCs w:val="20"/>
        </w:rPr>
        <w:t>:  T</w:t>
      </w:r>
      <w:r w:rsidRPr="00E233B2">
        <w:rPr>
          <w:sz w:val="20"/>
          <w:szCs w:val="20"/>
        </w:rPr>
        <w:t xml:space="preserve">he chain length on the alkyl group may be a mixture. Labels are given as percentages of each </w:t>
      </w:r>
      <w:proofErr w:type="spellStart"/>
      <w:r w:rsidRPr="00E233B2">
        <w:rPr>
          <w:sz w:val="20"/>
          <w:szCs w:val="20"/>
        </w:rPr>
        <w:t>akyl</w:t>
      </w:r>
      <w:proofErr w:type="spellEnd"/>
      <w:r w:rsidRPr="00E233B2">
        <w:rPr>
          <w:sz w:val="20"/>
          <w:szCs w:val="20"/>
        </w:rPr>
        <w:t xml:space="preserve"> chain length.  Example:  40% C12; 20% C14; and 40% C18.  </w:t>
      </w:r>
    </w:p>
    <w:p w:rsidR="00A43FFF" w:rsidRPr="00E233B2" w:rsidRDefault="00A43FFF" w:rsidP="005035CE">
      <w:pPr>
        <w:jc w:val="both"/>
      </w:pPr>
    </w:p>
    <w:p w:rsidR="002E624C" w:rsidRPr="00E233B2" w:rsidRDefault="00A027D1">
      <w:r w:rsidRPr="00E233B2">
        <w:br w:type="page"/>
      </w:r>
    </w:p>
    <w:p w:rsidR="00497186" w:rsidRPr="00E233B2" w:rsidRDefault="00497186" w:rsidP="002558D0">
      <w:pPr>
        <w:ind w:left="360"/>
        <w:rPr>
          <w:rStyle w:val="berschrift7Zchn"/>
          <w:rFonts w:ascii="Times New Roman" w:hAnsi="Times New Roman" w:cs="Times New Roman"/>
        </w:rPr>
      </w:pPr>
    </w:p>
    <w:p w:rsidR="00497186" w:rsidRPr="00E233B2" w:rsidRDefault="00497186" w:rsidP="002558D0">
      <w:pPr>
        <w:ind w:left="360"/>
        <w:rPr>
          <w:rStyle w:val="berschrift7Zchn"/>
          <w:rFonts w:ascii="Times New Roman" w:hAnsi="Times New Roman" w:cs="Times New Roman"/>
        </w:rPr>
      </w:pPr>
    </w:p>
    <w:p w:rsidR="00807950" w:rsidRPr="00E233B2" w:rsidRDefault="003523EB" w:rsidP="002558D0">
      <w:pPr>
        <w:ind w:left="360"/>
        <w:rPr>
          <w:rStyle w:val="berschrift7Zchn"/>
          <w:rFonts w:ascii="Times New Roman" w:hAnsi="Times New Roman" w:cs="Times New Roman"/>
        </w:rPr>
      </w:pPr>
      <w:r w:rsidRPr="00E233B2">
        <w:rPr>
          <w:rStyle w:val="berschrift7Zchn"/>
          <w:rFonts w:ascii="Times New Roman" w:hAnsi="Times New Roman" w:cs="Times New Roman"/>
        </w:rPr>
        <w:t xml:space="preserve">Outline of the </w:t>
      </w:r>
      <w:r w:rsidR="0077414E" w:rsidRPr="00E233B2">
        <w:rPr>
          <w:rStyle w:val="berschrift7Zchn"/>
          <w:rFonts w:ascii="Times New Roman" w:hAnsi="Times New Roman" w:cs="Times New Roman"/>
        </w:rPr>
        <w:t>Method</w:t>
      </w:r>
    </w:p>
    <w:p w:rsidR="00807950" w:rsidRPr="00E233B2" w:rsidRDefault="00807950" w:rsidP="002558D0">
      <w:pPr>
        <w:ind w:left="360"/>
        <w:rPr>
          <w:rStyle w:val="berschrift7Zchn"/>
          <w:rFonts w:ascii="Times New Roman" w:hAnsi="Times New Roman" w:cs="Times New Roman"/>
        </w:rPr>
      </w:pPr>
    </w:p>
    <w:p w:rsidR="002558D0" w:rsidRPr="00E233B2" w:rsidRDefault="002558D0" w:rsidP="002558D0">
      <w:pPr>
        <w:ind w:left="360"/>
      </w:pPr>
      <w:r w:rsidRPr="00E233B2">
        <w:t>This method is suitable for the determination of quaternary ammonium compounds (QAC) in concentrate and ready-to-use (RTU) disinfectant formulations</w:t>
      </w:r>
      <w:r w:rsidR="00D7754A" w:rsidRPr="00E233B2">
        <w:t>.</w:t>
      </w:r>
      <w:r w:rsidR="00147E3F" w:rsidRPr="00E233B2">
        <w:t xml:space="preserve"> </w:t>
      </w:r>
      <w:r w:rsidR="00D7754A" w:rsidRPr="00E233B2">
        <w:t xml:space="preserve">The </w:t>
      </w:r>
      <w:r w:rsidR="0077414E" w:rsidRPr="00E233B2">
        <w:t>method is</w:t>
      </w:r>
      <w:r w:rsidR="00147E3F" w:rsidRPr="00E233B2">
        <w:t xml:space="preserve"> not suitable for products containing large amounts of alcohol (methanol, ethanol, isopropanol, etc.)</w:t>
      </w:r>
      <w:r w:rsidR="00D7754A" w:rsidRPr="00E233B2">
        <w:t xml:space="preserve"> and/</w:t>
      </w:r>
      <w:r w:rsidR="007C010E" w:rsidRPr="00E233B2">
        <w:t>or hydrochloric acid</w:t>
      </w:r>
      <w:r w:rsidR="00147E3F" w:rsidRPr="00E233B2">
        <w:t>.</w:t>
      </w:r>
    </w:p>
    <w:p w:rsidR="002558D0" w:rsidRPr="00E233B2" w:rsidRDefault="002558D0" w:rsidP="002558D0"/>
    <w:p w:rsidR="002558D0" w:rsidRPr="00E233B2" w:rsidRDefault="002558D0" w:rsidP="002558D0">
      <w:pPr>
        <w:ind w:left="360"/>
      </w:pPr>
      <w:r w:rsidRPr="00E233B2">
        <w:t xml:space="preserve">A potentiometric titration, </w:t>
      </w:r>
      <w:r w:rsidR="00D7754A" w:rsidRPr="00E233B2">
        <w:t xml:space="preserve">utilizing </w:t>
      </w:r>
      <w:r w:rsidRPr="00E233B2">
        <w:t xml:space="preserve">an ionic surfactant electrode and </w:t>
      </w:r>
      <w:r w:rsidR="00D7754A" w:rsidRPr="00E233B2">
        <w:t xml:space="preserve">a titrant of </w:t>
      </w:r>
      <w:r w:rsidRPr="00E233B2">
        <w:t>sodium lauryl sulfate (SLS), is used to determine the amount of quaternary nitrogen in the sample. From this value, a total QAC value is calculated.</w:t>
      </w:r>
    </w:p>
    <w:p w:rsidR="002558D0" w:rsidRPr="00E233B2" w:rsidRDefault="002558D0" w:rsidP="002558D0">
      <w:pPr>
        <w:ind w:left="360"/>
      </w:pPr>
    </w:p>
    <w:p w:rsidR="002558D0" w:rsidRPr="00E233B2" w:rsidRDefault="002558D0" w:rsidP="002558D0">
      <w:pPr>
        <w:ind w:left="360"/>
        <w:rPr>
          <w:strike/>
        </w:rPr>
      </w:pPr>
    </w:p>
    <w:p w:rsidR="002558D0" w:rsidRPr="00E233B2" w:rsidRDefault="002558D0" w:rsidP="002558D0">
      <w:pPr>
        <w:numPr>
          <w:ilvl w:val="0"/>
          <w:numId w:val="3"/>
        </w:numPr>
        <w:rPr>
          <w:b/>
        </w:rPr>
      </w:pPr>
      <w:r w:rsidRPr="00E233B2">
        <w:rPr>
          <w:b/>
        </w:rPr>
        <w:t>Apparatus</w:t>
      </w:r>
    </w:p>
    <w:p w:rsidR="002558D0" w:rsidRPr="00E233B2" w:rsidRDefault="002558D0" w:rsidP="002558D0"/>
    <w:p w:rsidR="002558D0" w:rsidRPr="00E233B2" w:rsidRDefault="002558D0" w:rsidP="002558D0">
      <w:pPr>
        <w:ind w:left="360"/>
      </w:pPr>
      <w:r w:rsidRPr="00E233B2">
        <w:t>Note:  Equivalent apparatus may be substituted.  All volumetric flasks are Class A.</w:t>
      </w:r>
    </w:p>
    <w:p w:rsidR="002558D0" w:rsidRPr="00E233B2" w:rsidRDefault="002558D0" w:rsidP="002558D0">
      <w:pPr>
        <w:ind w:left="360"/>
      </w:pPr>
    </w:p>
    <w:p w:rsidR="002558D0" w:rsidRPr="00E233B2" w:rsidRDefault="002558D0" w:rsidP="002558D0">
      <w:pPr>
        <w:numPr>
          <w:ilvl w:val="1"/>
          <w:numId w:val="3"/>
        </w:numPr>
      </w:pPr>
      <w:r w:rsidRPr="00E233B2">
        <w:t xml:space="preserve">Automated titration system – </w:t>
      </w:r>
      <w:proofErr w:type="spellStart"/>
      <w:r w:rsidRPr="00E233B2">
        <w:t>Metrohm</w:t>
      </w:r>
      <w:proofErr w:type="spellEnd"/>
      <w:r w:rsidRPr="00E233B2">
        <w:t xml:space="preserve"> 808 </w:t>
      </w:r>
      <w:proofErr w:type="spellStart"/>
      <w:r w:rsidRPr="00E233B2">
        <w:t>Titrando</w:t>
      </w:r>
      <w:proofErr w:type="spellEnd"/>
      <w:r w:rsidRPr="00E233B2">
        <w:t xml:space="preserve"> with a 20 mL exchange unit</w:t>
      </w:r>
      <w:r w:rsidR="00D7754A" w:rsidRPr="00E233B2">
        <w:t xml:space="preserve"> or equivalent</w:t>
      </w:r>
    </w:p>
    <w:p w:rsidR="002558D0" w:rsidRPr="00E233B2" w:rsidRDefault="002558D0" w:rsidP="002558D0">
      <w:pPr>
        <w:ind w:left="720"/>
      </w:pPr>
    </w:p>
    <w:p w:rsidR="002558D0" w:rsidRPr="00E233B2" w:rsidRDefault="002558D0" w:rsidP="002558D0">
      <w:pPr>
        <w:numPr>
          <w:ilvl w:val="1"/>
          <w:numId w:val="3"/>
        </w:numPr>
      </w:pPr>
      <w:r w:rsidRPr="00E233B2">
        <w:t xml:space="preserve">Working </w:t>
      </w:r>
      <w:proofErr w:type="gramStart"/>
      <w:r w:rsidRPr="00E233B2">
        <w:t>electrode  –</w:t>
      </w:r>
      <w:proofErr w:type="gramEnd"/>
      <w:r w:rsidRPr="00E233B2">
        <w:t xml:space="preserve"> </w:t>
      </w:r>
      <w:proofErr w:type="spellStart"/>
      <w:r w:rsidRPr="00E233B2">
        <w:t>Metrohm</w:t>
      </w:r>
      <w:proofErr w:type="spellEnd"/>
      <w:r w:rsidRPr="00E233B2">
        <w:t xml:space="preserve"> Ionic Surfactant electrode (Product # 6.0507.120)</w:t>
      </w:r>
      <w:r w:rsidR="00D7754A" w:rsidRPr="00E233B2">
        <w:t xml:space="preserve"> or equivalent</w:t>
      </w:r>
      <w:r w:rsidR="00277818" w:rsidRPr="00E233B2">
        <w:t xml:space="preserve">.  Follow </w:t>
      </w:r>
      <w:r w:rsidR="00F53A97" w:rsidRPr="00E233B2">
        <w:t>manufacturer’s</w:t>
      </w:r>
      <w:r w:rsidR="00277818" w:rsidRPr="00E233B2">
        <w:t xml:space="preserve"> guidelines for conditioning new electrode before use.  Typically the new electrode is </w:t>
      </w:r>
      <w:r w:rsidR="00F53A97" w:rsidRPr="00E233B2">
        <w:t>conditioned by carrying out two or three titrations and discarding this data.</w:t>
      </w:r>
      <w:r w:rsidR="00277818" w:rsidRPr="00E233B2">
        <w:t xml:space="preserve"> </w:t>
      </w:r>
    </w:p>
    <w:p w:rsidR="002558D0" w:rsidRPr="00E233B2" w:rsidRDefault="002558D0" w:rsidP="002558D0"/>
    <w:p w:rsidR="002558D0" w:rsidRPr="00E233B2" w:rsidRDefault="002558D0" w:rsidP="002558D0">
      <w:pPr>
        <w:numPr>
          <w:ilvl w:val="1"/>
          <w:numId w:val="3"/>
        </w:numPr>
      </w:pPr>
      <w:r w:rsidRPr="00E233B2">
        <w:t xml:space="preserve">Reference electrode  – </w:t>
      </w:r>
      <w:proofErr w:type="spellStart"/>
      <w:r w:rsidRPr="00E233B2">
        <w:t>Metrohm</w:t>
      </w:r>
      <w:proofErr w:type="spellEnd"/>
      <w:r w:rsidRPr="00E233B2">
        <w:t xml:space="preserve"> Ag/</w:t>
      </w:r>
      <w:proofErr w:type="spellStart"/>
      <w:r w:rsidRPr="00E233B2">
        <w:t>AgCl</w:t>
      </w:r>
      <w:proofErr w:type="spellEnd"/>
      <w:r w:rsidRPr="00E233B2">
        <w:t xml:space="preserve"> reference electrode (Product # 6.0726.107)</w:t>
      </w:r>
      <w:r w:rsidR="00D7754A" w:rsidRPr="00E233B2">
        <w:t xml:space="preserve"> or equivalent</w:t>
      </w:r>
    </w:p>
    <w:p w:rsidR="002558D0" w:rsidRPr="00E233B2" w:rsidRDefault="002558D0" w:rsidP="002558D0"/>
    <w:p w:rsidR="002558D0" w:rsidRPr="00E233B2" w:rsidRDefault="002558D0" w:rsidP="002558D0">
      <w:pPr>
        <w:numPr>
          <w:ilvl w:val="1"/>
          <w:numId w:val="3"/>
        </w:numPr>
      </w:pPr>
      <w:r w:rsidRPr="00E233B2">
        <w:t>Beakers – Appropriate size to perform titration, 125 mL</w:t>
      </w:r>
    </w:p>
    <w:p w:rsidR="002558D0" w:rsidRPr="00E233B2" w:rsidRDefault="002558D0" w:rsidP="002558D0">
      <w:pPr>
        <w:ind w:left="720"/>
      </w:pPr>
    </w:p>
    <w:p w:rsidR="002558D0" w:rsidRPr="00E233B2" w:rsidRDefault="002558D0" w:rsidP="002558D0">
      <w:pPr>
        <w:numPr>
          <w:ilvl w:val="1"/>
          <w:numId w:val="3"/>
        </w:numPr>
      </w:pPr>
      <w:r w:rsidRPr="00E233B2">
        <w:t>Volumetric flasks – 1000 mL and 2000 mL</w:t>
      </w:r>
    </w:p>
    <w:p w:rsidR="002558D0" w:rsidRPr="00E233B2" w:rsidRDefault="002558D0" w:rsidP="002558D0"/>
    <w:p w:rsidR="002558D0" w:rsidRPr="00E233B2" w:rsidRDefault="002558D0" w:rsidP="002558D0">
      <w:pPr>
        <w:ind w:left="1800"/>
      </w:pPr>
      <w:r w:rsidRPr="00E233B2">
        <w:t xml:space="preserve">   </w:t>
      </w:r>
    </w:p>
    <w:p w:rsidR="002558D0" w:rsidRPr="00E233B2" w:rsidRDefault="002558D0" w:rsidP="002558D0">
      <w:pPr>
        <w:pStyle w:val="berschrift7"/>
        <w:rPr>
          <w:rFonts w:ascii="Times New Roman" w:hAnsi="Times New Roman" w:cs="Times New Roman"/>
        </w:rPr>
      </w:pPr>
      <w:r w:rsidRPr="00E233B2">
        <w:rPr>
          <w:rFonts w:ascii="Times New Roman" w:hAnsi="Times New Roman" w:cs="Times New Roman"/>
        </w:rPr>
        <w:t>Reagents</w:t>
      </w:r>
    </w:p>
    <w:p w:rsidR="002558D0" w:rsidRPr="00E233B2" w:rsidRDefault="002558D0" w:rsidP="002558D0">
      <w:pPr>
        <w:pStyle w:val="berschrift7"/>
        <w:numPr>
          <w:ilvl w:val="0"/>
          <w:numId w:val="0"/>
        </w:numPr>
        <w:rPr>
          <w:rFonts w:ascii="Times New Roman" w:hAnsi="Times New Roman" w:cs="Times New Roman"/>
          <w:b w:val="0"/>
        </w:rPr>
      </w:pPr>
    </w:p>
    <w:p w:rsidR="002558D0" w:rsidRPr="00E233B2" w:rsidRDefault="002558D0" w:rsidP="002558D0">
      <w:pPr>
        <w:numPr>
          <w:ilvl w:val="1"/>
          <w:numId w:val="3"/>
        </w:numPr>
      </w:pPr>
      <w:r w:rsidRPr="00E233B2">
        <w:t xml:space="preserve">Water – LC grade </w:t>
      </w:r>
    </w:p>
    <w:p w:rsidR="002558D0" w:rsidRPr="00E233B2" w:rsidRDefault="002558D0" w:rsidP="002558D0"/>
    <w:p w:rsidR="002558D0" w:rsidRPr="00E233B2" w:rsidRDefault="002558D0" w:rsidP="002558D0">
      <w:pPr>
        <w:numPr>
          <w:ilvl w:val="1"/>
          <w:numId w:val="3"/>
        </w:numPr>
      </w:pPr>
      <w:r w:rsidRPr="00E233B2">
        <w:t>Sodium lauryl sulfate (SLS) – 99% or greater purity or</w:t>
      </w:r>
      <w:r w:rsidR="00F903E9" w:rsidRPr="00E233B2">
        <w:t xml:space="preserve"> a commercially available</w:t>
      </w:r>
      <w:r w:rsidRPr="00E233B2">
        <w:t xml:space="preserve"> 0.</w:t>
      </w:r>
      <w:r w:rsidR="007C010E" w:rsidRPr="00E233B2">
        <w:t xml:space="preserve">005 </w:t>
      </w:r>
      <w:r w:rsidRPr="00E233B2">
        <w:t>Normal SLS traceable to NIST standard reference</w:t>
      </w:r>
      <w:r>
        <w:rPr>
          <w:rFonts w:ascii="Arial" w:hAnsi="Arial" w:cs="Arial"/>
        </w:rPr>
        <w:t xml:space="preserve"> </w:t>
      </w:r>
      <w:r w:rsidRPr="00E233B2">
        <w:t>material.</w:t>
      </w:r>
      <w:r w:rsidR="007C010E" w:rsidRPr="00E233B2">
        <w:t xml:space="preserve"> </w:t>
      </w:r>
      <w:proofErr w:type="spellStart"/>
      <w:r w:rsidR="007C010E" w:rsidRPr="00E233B2">
        <w:t>Metrohm</w:t>
      </w:r>
      <w:proofErr w:type="spellEnd"/>
      <w:r w:rsidR="007C010E" w:rsidRPr="00E233B2">
        <w:t xml:space="preserve"> REATI98645, 6 x 1 liter NIST Traceable, or equivalent</w:t>
      </w:r>
      <w:r w:rsidR="00F903E9" w:rsidRPr="00E233B2">
        <w:t xml:space="preserve"> may be purchased for use</w:t>
      </w:r>
      <w:r w:rsidR="007C010E" w:rsidRPr="00E233B2">
        <w:t>.</w:t>
      </w:r>
    </w:p>
    <w:p w:rsidR="002558D0" w:rsidRPr="00E233B2" w:rsidRDefault="002558D0" w:rsidP="002558D0"/>
    <w:p w:rsidR="002558D0" w:rsidRPr="00E233B2" w:rsidRDefault="002558D0" w:rsidP="002558D0">
      <w:pPr>
        <w:numPr>
          <w:ilvl w:val="1"/>
          <w:numId w:val="3"/>
        </w:numPr>
      </w:pPr>
      <w:r w:rsidRPr="00E233B2">
        <w:t>Boric acid – 99.5% or greater purity</w:t>
      </w:r>
    </w:p>
    <w:p w:rsidR="002558D0" w:rsidRPr="00E233B2" w:rsidRDefault="002558D0" w:rsidP="002558D0">
      <w:pPr>
        <w:ind w:left="360"/>
      </w:pPr>
    </w:p>
    <w:p w:rsidR="002558D0" w:rsidRPr="00E233B2" w:rsidRDefault="002558D0" w:rsidP="002558D0">
      <w:pPr>
        <w:numPr>
          <w:ilvl w:val="1"/>
          <w:numId w:val="3"/>
        </w:numPr>
      </w:pPr>
      <w:r w:rsidRPr="00E233B2">
        <w:t>Sodium hydroxide – 2 N</w:t>
      </w:r>
      <w:r w:rsidR="00353089" w:rsidRPr="00E233B2">
        <w:t xml:space="preserve"> or Molar</w:t>
      </w:r>
      <w:r w:rsidRPr="00E233B2">
        <w:t xml:space="preserve"> solution</w:t>
      </w:r>
    </w:p>
    <w:p w:rsidR="002558D0" w:rsidRPr="00E233B2" w:rsidRDefault="002558D0" w:rsidP="002558D0">
      <w:pPr>
        <w:ind w:left="720"/>
      </w:pPr>
    </w:p>
    <w:p w:rsidR="002558D0" w:rsidRPr="00E233B2" w:rsidRDefault="002558D0" w:rsidP="002558D0">
      <w:pPr>
        <w:numPr>
          <w:ilvl w:val="1"/>
          <w:numId w:val="3"/>
        </w:numPr>
      </w:pPr>
      <w:r w:rsidRPr="00E233B2">
        <w:t>Reference standard – n-Alkyldimethylbenzyl ammonium chloride (trade name Hyamine ® 1622) with 3.</w:t>
      </w:r>
      <w:r w:rsidR="00716F5D" w:rsidRPr="00E233B2">
        <w:t>126</w:t>
      </w:r>
      <w:r w:rsidRPr="00E233B2">
        <w:t>% nitrogen content</w:t>
      </w:r>
      <w:r w:rsidR="00EE7A93" w:rsidRPr="00E233B2">
        <w:t xml:space="preserve">.  Sigma Life Science:  </w:t>
      </w:r>
      <w:r w:rsidR="00EE7A93" w:rsidRPr="00E233B2">
        <w:rPr>
          <w:i/>
        </w:rPr>
        <w:t>Hyamine® 1622</w:t>
      </w:r>
      <w:r w:rsidR="00EE7A93" w:rsidRPr="00E233B2">
        <w:t>, C</w:t>
      </w:r>
      <w:r w:rsidR="00EE7A93" w:rsidRPr="00E233B2">
        <w:rPr>
          <w:vertAlign w:val="subscript"/>
        </w:rPr>
        <w:t>27</w:t>
      </w:r>
      <w:r w:rsidR="00EE7A93" w:rsidRPr="00E233B2">
        <w:t>H</w:t>
      </w:r>
      <w:r w:rsidR="00EE7A93" w:rsidRPr="00E233B2">
        <w:rPr>
          <w:vertAlign w:val="subscript"/>
        </w:rPr>
        <w:t>42</w:t>
      </w:r>
      <w:r w:rsidR="00EE7A93" w:rsidRPr="00E233B2">
        <w:t>ClNO</w:t>
      </w:r>
      <w:r w:rsidR="00EE7A93" w:rsidRPr="00E233B2">
        <w:rPr>
          <w:vertAlign w:val="subscript"/>
        </w:rPr>
        <w:t>2</w:t>
      </w:r>
      <w:r w:rsidR="00EE7A93" w:rsidRPr="00E233B2">
        <w:t>, FW 448.08, CAS 121-54-0, and purity ≥ 99.0% (AT), catalog no. 53751-50 G from Sigma Life Science.</w:t>
      </w:r>
    </w:p>
    <w:p w:rsidR="002558D0" w:rsidRPr="00E233B2" w:rsidRDefault="002558D0" w:rsidP="002558D0"/>
    <w:p w:rsidR="002558D0" w:rsidRPr="00E233B2" w:rsidRDefault="002558D0" w:rsidP="002558D0">
      <w:pPr>
        <w:numPr>
          <w:ilvl w:val="1"/>
          <w:numId w:val="3"/>
        </w:numPr>
      </w:pPr>
      <w:r w:rsidRPr="00E233B2">
        <w:t>SLS solution, 0.00</w:t>
      </w:r>
      <w:r w:rsidR="00716F5D" w:rsidRPr="00E233B2">
        <w:t>5</w:t>
      </w:r>
      <w:r w:rsidRPr="00E233B2">
        <w:t xml:space="preserve"> N – Add </w:t>
      </w:r>
      <w:r w:rsidR="00716F5D" w:rsidRPr="00E233B2">
        <w:t>1.44</w:t>
      </w:r>
      <w:r w:rsidRPr="00E233B2">
        <w:t xml:space="preserve"> g of SLS to a 1000 mL volumetric flask containing approximately 500 mL of water. Mix thoroughly. Dilute to volume with water and then mix again. Alternately, a </w:t>
      </w:r>
      <w:r w:rsidR="00D7754A" w:rsidRPr="00E233B2">
        <w:t xml:space="preserve">commercially available </w:t>
      </w:r>
      <w:r w:rsidRPr="00E233B2">
        <w:t>standardized 0.</w:t>
      </w:r>
      <w:r w:rsidR="00716F5D" w:rsidRPr="00E233B2">
        <w:t xml:space="preserve">005 </w:t>
      </w:r>
      <w:r w:rsidRPr="00E233B2">
        <w:t>N SLS solution may be purchased</w:t>
      </w:r>
      <w:r w:rsidR="00F903E9" w:rsidRPr="00E233B2">
        <w:t xml:space="preserve"> for use</w:t>
      </w:r>
      <w:r w:rsidR="003E415E" w:rsidRPr="00E233B2">
        <w:t>.</w:t>
      </w:r>
      <w:r w:rsidRPr="00E233B2">
        <w:t xml:space="preserve"> Other concentrations of SLS may be used with </w:t>
      </w:r>
      <w:r w:rsidR="003E415E" w:rsidRPr="00E233B2">
        <w:t xml:space="preserve">appropriate </w:t>
      </w:r>
      <w:r w:rsidRPr="00E233B2">
        <w:t>adjustments made to sample size</w:t>
      </w:r>
      <w:r w:rsidR="001E05CD" w:rsidRPr="00E233B2">
        <w:t xml:space="preserve"> and formula for calculations</w:t>
      </w:r>
      <w:r w:rsidRPr="00E233B2">
        <w:t xml:space="preserve">. </w:t>
      </w:r>
    </w:p>
    <w:p w:rsidR="002558D0" w:rsidRPr="00E233B2" w:rsidRDefault="002558D0" w:rsidP="002558D0"/>
    <w:p w:rsidR="002558D0" w:rsidRPr="00E233B2" w:rsidRDefault="002558D0" w:rsidP="002558D0">
      <w:pPr>
        <w:numPr>
          <w:ilvl w:val="1"/>
          <w:numId w:val="3"/>
        </w:numPr>
      </w:pPr>
      <w:r w:rsidRPr="00E233B2">
        <w:t>Boric acid buffer solution – Add 1.04 g of boric acid to a 2000 mL volumetric flask containing approximately 1000 mL of water. Mix thoroughly. Dilute to volume with water and then mix again. Transfer the resultant solution to a 2000 mL beaker and then adjust the pH to 10.5 by slowly adding 2 N NaOH (approximately 4 mL) while stirring the solution.</w:t>
      </w:r>
    </w:p>
    <w:p w:rsidR="002558D0" w:rsidRDefault="002558D0" w:rsidP="002558D0">
      <w:pPr>
        <w:ind w:left="1080"/>
        <w:rPr>
          <w:rFonts w:ascii="Arial" w:hAnsi="Arial" w:cs="Arial"/>
        </w:rPr>
      </w:pPr>
    </w:p>
    <w:p w:rsidR="002558D0" w:rsidRPr="00E233B2" w:rsidRDefault="002558D0" w:rsidP="002558D0"/>
    <w:p w:rsidR="002558D0" w:rsidRPr="00E233B2" w:rsidRDefault="002558D0" w:rsidP="002558D0">
      <w:pPr>
        <w:pStyle w:val="berschrift7"/>
        <w:rPr>
          <w:rFonts w:ascii="Times New Roman" w:hAnsi="Times New Roman" w:cs="Times New Roman"/>
        </w:rPr>
      </w:pPr>
      <w:r w:rsidRPr="00E233B2">
        <w:rPr>
          <w:rFonts w:ascii="Times New Roman" w:hAnsi="Times New Roman" w:cs="Times New Roman"/>
        </w:rPr>
        <w:t>Preparation of Test Solutions</w:t>
      </w:r>
    </w:p>
    <w:p w:rsidR="002558D0" w:rsidRPr="00E233B2" w:rsidRDefault="002558D0" w:rsidP="002558D0">
      <w:pPr>
        <w:tabs>
          <w:tab w:val="left" w:pos="2460"/>
        </w:tabs>
      </w:pPr>
      <w:r w:rsidRPr="00E233B2">
        <w:tab/>
      </w:r>
    </w:p>
    <w:p w:rsidR="002558D0" w:rsidRPr="00E233B2" w:rsidRDefault="003E5428" w:rsidP="00BF73BB">
      <w:pPr>
        <w:pStyle w:val="Listenabsatz"/>
      </w:pPr>
      <w:r w:rsidRPr="00E233B2">
        <w:t xml:space="preserve">Test solutions are liquids with no need for vigorous mixing prior to subsampling.  Gently mix if solids are </w:t>
      </w:r>
      <w:r w:rsidR="00CA178A" w:rsidRPr="00E233B2">
        <w:t>observed. Shake</w:t>
      </w:r>
      <w:r w:rsidR="002558D0" w:rsidRPr="00E233B2">
        <w:t xml:space="preserve"> </w:t>
      </w:r>
      <w:r w:rsidR="00CD2B11" w:rsidRPr="00E233B2">
        <w:t>gently</w:t>
      </w:r>
      <w:r w:rsidR="002558D0" w:rsidRPr="00E233B2">
        <w:t xml:space="preserve"> before sampling. </w:t>
      </w:r>
      <w:r w:rsidR="00EA36EA" w:rsidRPr="00E233B2">
        <w:t xml:space="preserve">Weigh accurately a test portion of sample to contain approximately 0.060 meq/10 mL of disinfectant quaternary ammonium compound active ingredient into a 100 mL volumetric flask.  Dilute to volume with water and take a 10 mL aliquot for analysis.  </w:t>
      </w:r>
      <w:r w:rsidR="008A2933" w:rsidRPr="00E233B2">
        <w:t>Formula for calculating sample size needed for 12 ml titer using 0.005N SLS titrant</w:t>
      </w:r>
      <w:r w:rsidR="00EA36EA" w:rsidRPr="00E233B2">
        <w:t>:</w:t>
      </w:r>
    </w:p>
    <w:p w:rsidR="00EA36EA" w:rsidRPr="00E233B2" w:rsidRDefault="00EA36EA" w:rsidP="002558D0">
      <w:pPr>
        <w:ind w:left="720"/>
      </w:pPr>
    </w:p>
    <w:p w:rsidR="00EA36EA" w:rsidRPr="00E233B2" w:rsidRDefault="00EA36EA" w:rsidP="002558D0">
      <w:pPr>
        <w:ind w:left="720"/>
      </w:pPr>
      <w:r w:rsidRPr="00E233B2">
        <w:t xml:space="preserve">Sample Weight </w:t>
      </w:r>
      <w:r w:rsidRPr="00E233B2">
        <w:rPr>
          <w:vertAlign w:val="subscript"/>
        </w:rPr>
        <w:t>(g)</w:t>
      </w:r>
      <w:r w:rsidRPr="00E233B2">
        <w:t xml:space="preserve"> = 0.006 x MW/ %</w:t>
      </w:r>
      <w:r w:rsidR="00364631" w:rsidRPr="00E233B2">
        <w:t xml:space="preserve"> </w:t>
      </w:r>
      <w:r w:rsidR="00F903E9" w:rsidRPr="00E233B2">
        <w:t xml:space="preserve">Label </w:t>
      </w:r>
      <w:r w:rsidRPr="00E233B2">
        <w:t>Claim</w:t>
      </w:r>
    </w:p>
    <w:p w:rsidR="00EA36EA" w:rsidRPr="00E233B2" w:rsidRDefault="00EA36EA" w:rsidP="002558D0">
      <w:pPr>
        <w:ind w:left="720"/>
      </w:pPr>
    </w:p>
    <w:p w:rsidR="00EA36EA" w:rsidRPr="00E233B2" w:rsidRDefault="00EA36EA" w:rsidP="002558D0">
      <w:pPr>
        <w:ind w:left="720"/>
      </w:pPr>
      <w:r w:rsidRPr="00E233B2">
        <w:t xml:space="preserve">Where MW is the average molecular weight of quaternary ammonium compounds – calculation found </w:t>
      </w:r>
      <w:r w:rsidR="008A2933" w:rsidRPr="00E233B2">
        <w:t>in Table 1.</w:t>
      </w:r>
    </w:p>
    <w:p w:rsidR="008A2933" w:rsidRDefault="008A2933" w:rsidP="002558D0">
      <w:pPr>
        <w:ind w:left="720"/>
        <w:rPr>
          <w:rFonts w:ascii="Arial" w:hAnsi="Arial" w:cs="Arial"/>
        </w:rPr>
      </w:pPr>
    </w:p>
    <w:p w:rsidR="008A2933" w:rsidRPr="00E233B2" w:rsidRDefault="008A2933" w:rsidP="002558D0">
      <w:pPr>
        <w:ind w:left="720"/>
      </w:pPr>
      <w:r w:rsidRPr="00E233B2">
        <w:rPr>
          <w:u w:val="single"/>
        </w:rPr>
        <w:t>Example calculation:</w:t>
      </w:r>
      <w:r w:rsidRPr="00E233B2">
        <w:t xml:space="preserve">  For a product with 12% Total Quaternary Claim and 359.60 average Molecular weight,  0.006 x 359.60/12 = 0.1798 g</w:t>
      </w:r>
      <w:r w:rsidR="0041541A" w:rsidRPr="00E233B2">
        <w:t xml:space="preserve"> or 179.8 mg,  1.798 g into 100 mL final volume, then take a 10 mL aliquot.  For very low level quaternary products</w:t>
      </w:r>
      <w:r w:rsidR="00F903E9" w:rsidRPr="00E233B2">
        <w:t xml:space="preserve"> (less than 1% label claim)</w:t>
      </w:r>
      <w:r w:rsidR="0041541A" w:rsidRPr="00E233B2">
        <w:t xml:space="preserve">, a direct </w:t>
      </w:r>
      <w:r w:rsidR="00CA178A" w:rsidRPr="00E233B2">
        <w:t>weight into</w:t>
      </w:r>
      <w:r w:rsidR="0041541A" w:rsidRPr="00E233B2">
        <w:t xml:space="preserve"> the 125 mL sample beaker may be necessary.</w:t>
      </w:r>
      <w:r w:rsidR="009E174E" w:rsidRPr="00E233B2">
        <w:t xml:space="preserve"> Table 2 provides further examples.</w:t>
      </w:r>
    </w:p>
    <w:p w:rsidR="001219CE" w:rsidRPr="00E233B2" w:rsidRDefault="001219CE" w:rsidP="002558D0">
      <w:pPr>
        <w:ind w:left="720"/>
      </w:pPr>
    </w:p>
    <w:p w:rsidR="001219CE" w:rsidRPr="00E233B2" w:rsidRDefault="001219CE" w:rsidP="00277818">
      <w:pPr>
        <w:pStyle w:val="Listenabsatz"/>
      </w:pPr>
      <w:r w:rsidRPr="00E233B2">
        <w:rPr>
          <w:u w:val="single"/>
        </w:rPr>
        <w:t>Evaluation of the titration curve</w:t>
      </w:r>
      <w:r w:rsidR="0081678D" w:rsidRPr="00E233B2">
        <w:rPr>
          <w:u w:val="single"/>
        </w:rPr>
        <w:t>:</w:t>
      </w:r>
      <w:r w:rsidRPr="00E233B2">
        <w:t xml:space="preserve">  Some commercial disinfectant products contain inerts which seem to affect the shape of the titration curve.  See example curve.  Reducing sample size can improve the shape of the titration curve.  Instead of an end point at 12 ml titrant, an end point of 4 or 5 ml of titrant is preferred in such cases.  </w:t>
      </w:r>
    </w:p>
    <w:p w:rsidR="002558D0" w:rsidRPr="00E233B2" w:rsidRDefault="002558D0" w:rsidP="002558D0">
      <w:pPr>
        <w:ind w:left="720"/>
      </w:pPr>
    </w:p>
    <w:p w:rsidR="002558D0" w:rsidRPr="00E233B2" w:rsidRDefault="002558D0" w:rsidP="002558D0">
      <w:pPr>
        <w:ind w:left="720"/>
      </w:pPr>
    </w:p>
    <w:p w:rsidR="002558D0" w:rsidRPr="00E233B2" w:rsidRDefault="002558D0" w:rsidP="002558D0">
      <w:pPr>
        <w:pStyle w:val="berschrift7"/>
        <w:rPr>
          <w:rFonts w:ascii="Times New Roman" w:hAnsi="Times New Roman" w:cs="Times New Roman"/>
        </w:rPr>
      </w:pPr>
      <w:r w:rsidRPr="00E233B2">
        <w:rPr>
          <w:rFonts w:ascii="Times New Roman" w:hAnsi="Times New Roman" w:cs="Times New Roman"/>
        </w:rPr>
        <w:t>Determination</w:t>
      </w:r>
    </w:p>
    <w:p w:rsidR="002558D0" w:rsidRPr="00E233B2" w:rsidRDefault="002558D0" w:rsidP="002558D0"/>
    <w:p w:rsidR="002558D0" w:rsidRPr="00E233B2" w:rsidRDefault="002558D0" w:rsidP="002558D0">
      <w:pPr>
        <w:numPr>
          <w:ilvl w:val="1"/>
          <w:numId w:val="3"/>
        </w:numPr>
      </w:pPr>
      <w:r w:rsidRPr="00E233B2">
        <w:t xml:space="preserve">Preparation of titration system – </w:t>
      </w:r>
    </w:p>
    <w:p w:rsidR="002558D0" w:rsidRPr="00E233B2" w:rsidRDefault="002558D0" w:rsidP="002558D0">
      <w:pPr>
        <w:numPr>
          <w:ilvl w:val="2"/>
          <w:numId w:val="3"/>
        </w:numPr>
      </w:pPr>
      <w:r w:rsidRPr="00E233B2">
        <w:t>Rinse and fill the titrant bottle with the SLS solution.</w:t>
      </w:r>
    </w:p>
    <w:p w:rsidR="002558D0" w:rsidRPr="00E233B2" w:rsidRDefault="002558D0" w:rsidP="002558D0">
      <w:pPr>
        <w:numPr>
          <w:ilvl w:val="2"/>
          <w:numId w:val="3"/>
        </w:numPr>
      </w:pPr>
      <w:r w:rsidRPr="00E233B2">
        <w:t xml:space="preserve">Fill the </w:t>
      </w:r>
      <w:proofErr w:type="spellStart"/>
      <w:r w:rsidRPr="00E233B2">
        <w:t>buret</w:t>
      </w:r>
      <w:proofErr w:type="spellEnd"/>
      <w:r w:rsidRPr="00E233B2">
        <w:t xml:space="preserve"> on the exchange unit and dispense 20 mL of titrant a total of four times.</w:t>
      </w:r>
    </w:p>
    <w:p w:rsidR="002558D0" w:rsidRPr="00E233B2" w:rsidRDefault="002558D0" w:rsidP="002558D0">
      <w:pPr>
        <w:numPr>
          <w:ilvl w:val="2"/>
          <w:numId w:val="3"/>
        </w:numPr>
      </w:pPr>
      <w:r w:rsidRPr="00E233B2">
        <w:t xml:space="preserve">Condition the surfactant electrode by soaking it in the </w:t>
      </w:r>
      <w:r w:rsidR="00CA178A" w:rsidRPr="00E233B2">
        <w:t>SLS solution</w:t>
      </w:r>
      <w:r w:rsidRPr="00E233B2">
        <w:t xml:space="preserve"> for 15 to 20 minutes</w:t>
      </w:r>
      <w:r w:rsidR="001E05CD" w:rsidRPr="00E233B2">
        <w:t>, then rinse gently with water</w:t>
      </w:r>
      <w:r w:rsidRPr="00E233B2">
        <w:t>.</w:t>
      </w:r>
    </w:p>
    <w:p w:rsidR="002558D0" w:rsidRPr="00E233B2" w:rsidRDefault="002558D0" w:rsidP="002558D0">
      <w:pPr>
        <w:ind w:left="1800"/>
      </w:pPr>
    </w:p>
    <w:p w:rsidR="002558D0" w:rsidRPr="00E233B2" w:rsidRDefault="002558D0" w:rsidP="002558D0">
      <w:pPr>
        <w:pStyle w:val="berschrift7"/>
        <w:numPr>
          <w:ilvl w:val="1"/>
          <w:numId w:val="3"/>
        </w:numPr>
        <w:rPr>
          <w:rFonts w:ascii="Times New Roman" w:hAnsi="Times New Roman" w:cs="Times New Roman"/>
          <w:b w:val="0"/>
        </w:rPr>
      </w:pPr>
      <w:proofErr w:type="spellStart"/>
      <w:r w:rsidRPr="00E233B2">
        <w:rPr>
          <w:rFonts w:ascii="Times New Roman" w:hAnsi="Times New Roman" w:cs="Times New Roman"/>
          <w:b w:val="0"/>
        </w:rPr>
        <w:t>Titrator</w:t>
      </w:r>
      <w:proofErr w:type="spellEnd"/>
      <w:r w:rsidRPr="00E233B2">
        <w:rPr>
          <w:rFonts w:ascii="Times New Roman" w:hAnsi="Times New Roman" w:cs="Times New Roman"/>
          <w:b w:val="0"/>
        </w:rPr>
        <w:t xml:space="preserve"> parameters – </w:t>
      </w:r>
    </w:p>
    <w:p w:rsidR="002558D0" w:rsidRPr="00E233B2" w:rsidRDefault="002558D0" w:rsidP="002558D0">
      <w:pPr>
        <w:pStyle w:val="Listenabsatz"/>
        <w:numPr>
          <w:ilvl w:val="0"/>
          <w:numId w:val="4"/>
        </w:numPr>
      </w:pPr>
      <w:r w:rsidRPr="00E233B2">
        <w:t>Start volume = 5 mL</w:t>
      </w:r>
    </w:p>
    <w:p w:rsidR="002558D0" w:rsidRPr="00E233B2" w:rsidRDefault="002558D0" w:rsidP="002558D0">
      <w:pPr>
        <w:pStyle w:val="Listenabsatz"/>
        <w:numPr>
          <w:ilvl w:val="0"/>
          <w:numId w:val="4"/>
        </w:numPr>
      </w:pPr>
      <w:r w:rsidRPr="00E233B2">
        <w:t>Dosing rate = 3 mL/min</w:t>
      </w:r>
    </w:p>
    <w:p w:rsidR="002558D0" w:rsidRPr="00E233B2" w:rsidRDefault="002558D0" w:rsidP="002558D0">
      <w:pPr>
        <w:pStyle w:val="Listenabsatz"/>
        <w:numPr>
          <w:ilvl w:val="0"/>
          <w:numId w:val="4"/>
        </w:numPr>
      </w:pPr>
      <w:r w:rsidRPr="00E233B2">
        <w:t>Start measured value = off</w:t>
      </w:r>
    </w:p>
    <w:p w:rsidR="002558D0" w:rsidRPr="00E233B2" w:rsidRDefault="002558D0" w:rsidP="002558D0">
      <w:pPr>
        <w:pStyle w:val="Listenabsatz"/>
        <w:numPr>
          <w:ilvl w:val="0"/>
          <w:numId w:val="4"/>
        </w:numPr>
      </w:pPr>
      <w:r w:rsidRPr="00E233B2">
        <w:t>Titration rate = optimal</w:t>
      </w:r>
    </w:p>
    <w:p w:rsidR="002558D0" w:rsidRPr="00E233B2" w:rsidRDefault="002558D0" w:rsidP="002558D0">
      <w:pPr>
        <w:pStyle w:val="Listenabsatz"/>
        <w:numPr>
          <w:ilvl w:val="0"/>
          <w:numId w:val="4"/>
        </w:numPr>
      </w:pPr>
      <w:r w:rsidRPr="00E233B2">
        <w:t>Signal drift = 50.0 mV/min</w:t>
      </w:r>
    </w:p>
    <w:p w:rsidR="002558D0" w:rsidRPr="00E233B2" w:rsidRDefault="002558D0" w:rsidP="002558D0">
      <w:pPr>
        <w:pStyle w:val="Listenabsatz"/>
        <w:numPr>
          <w:ilvl w:val="0"/>
          <w:numId w:val="4"/>
        </w:numPr>
      </w:pPr>
      <w:r w:rsidRPr="00E233B2">
        <w:t>Minimum waiting time = 0 s</w:t>
      </w:r>
    </w:p>
    <w:p w:rsidR="002558D0" w:rsidRPr="00E233B2" w:rsidRDefault="002558D0" w:rsidP="002558D0">
      <w:pPr>
        <w:pStyle w:val="Listenabsatz"/>
        <w:numPr>
          <w:ilvl w:val="0"/>
          <w:numId w:val="4"/>
        </w:numPr>
      </w:pPr>
      <w:r w:rsidRPr="00E233B2">
        <w:t>Maximum waiting time = 26 s</w:t>
      </w:r>
    </w:p>
    <w:p w:rsidR="002558D0" w:rsidRPr="00E233B2" w:rsidRDefault="002558D0" w:rsidP="002558D0">
      <w:pPr>
        <w:pStyle w:val="Listenabsatz"/>
        <w:numPr>
          <w:ilvl w:val="0"/>
          <w:numId w:val="4"/>
        </w:numPr>
      </w:pPr>
      <w:r w:rsidRPr="00E233B2">
        <w:t>Measuring point density = 4</w:t>
      </w:r>
    </w:p>
    <w:p w:rsidR="002558D0" w:rsidRPr="00E233B2" w:rsidRDefault="002558D0" w:rsidP="002558D0">
      <w:pPr>
        <w:pStyle w:val="Listenabsatz"/>
        <w:numPr>
          <w:ilvl w:val="0"/>
          <w:numId w:val="4"/>
        </w:numPr>
      </w:pPr>
      <w:r w:rsidRPr="00E233B2">
        <w:t>Minimum increment = 10.0 µL</w:t>
      </w:r>
    </w:p>
    <w:p w:rsidR="002558D0" w:rsidRPr="00E233B2" w:rsidRDefault="002558D0" w:rsidP="002558D0">
      <w:pPr>
        <w:pStyle w:val="Listenabsatz"/>
        <w:numPr>
          <w:ilvl w:val="0"/>
          <w:numId w:val="4"/>
        </w:numPr>
      </w:pPr>
      <w:r w:rsidRPr="00E233B2">
        <w:t>Maximum increment = off</w:t>
      </w:r>
    </w:p>
    <w:p w:rsidR="002558D0" w:rsidRPr="00E233B2" w:rsidRDefault="002558D0" w:rsidP="002558D0">
      <w:pPr>
        <w:pStyle w:val="Listenabsatz"/>
        <w:numPr>
          <w:ilvl w:val="0"/>
          <w:numId w:val="4"/>
        </w:numPr>
      </w:pPr>
      <w:r w:rsidRPr="00E233B2">
        <w:t>Dosing rate = maximum mL/min</w:t>
      </w:r>
    </w:p>
    <w:p w:rsidR="002558D0" w:rsidRPr="00E233B2" w:rsidRDefault="002558D0" w:rsidP="002558D0">
      <w:pPr>
        <w:pStyle w:val="Listenabsatz"/>
        <w:numPr>
          <w:ilvl w:val="0"/>
          <w:numId w:val="4"/>
        </w:numPr>
      </w:pPr>
      <w:r w:rsidRPr="00E233B2">
        <w:t>Stop volume = 30 mL</w:t>
      </w:r>
    </w:p>
    <w:p w:rsidR="002558D0" w:rsidRPr="00E233B2" w:rsidRDefault="002558D0" w:rsidP="002558D0">
      <w:pPr>
        <w:pStyle w:val="Listenabsatz"/>
        <w:numPr>
          <w:ilvl w:val="0"/>
          <w:numId w:val="4"/>
        </w:numPr>
      </w:pPr>
      <w:r w:rsidRPr="00E233B2">
        <w:t>Stop measured value = off</w:t>
      </w:r>
    </w:p>
    <w:p w:rsidR="002558D0" w:rsidRPr="00E233B2" w:rsidRDefault="002558D0" w:rsidP="002558D0">
      <w:pPr>
        <w:pStyle w:val="Listenabsatz"/>
        <w:numPr>
          <w:ilvl w:val="0"/>
          <w:numId w:val="4"/>
        </w:numPr>
      </w:pPr>
      <w:r w:rsidRPr="00E233B2">
        <w:t>Stop end point = 1</w:t>
      </w:r>
    </w:p>
    <w:p w:rsidR="002558D0" w:rsidRPr="00E233B2" w:rsidRDefault="002558D0" w:rsidP="002558D0">
      <w:pPr>
        <w:pStyle w:val="Listenabsatz"/>
        <w:numPr>
          <w:ilvl w:val="0"/>
          <w:numId w:val="4"/>
        </w:numPr>
      </w:pPr>
      <w:r w:rsidRPr="00E233B2">
        <w:t>Volume after end point = 5 mL</w:t>
      </w:r>
    </w:p>
    <w:p w:rsidR="002558D0" w:rsidRPr="00E233B2" w:rsidRDefault="002558D0" w:rsidP="002558D0">
      <w:pPr>
        <w:pStyle w:val="Listenabsatz"/>
        <w:numPr>
          <w:ilvl w:val="0"/>
          <w:numId w:val="4"/>
        </w:numPr>
      </w:pPr>
      <w:r w:rsidRPr="00E233B2">
        <w:t>Stop time = off</w:t>
      </w:r>
    </w:p>
    <w:p w:rsidR="002558D0" w:rsidRPr="00E233B2" w:rsidRDefault="002558D0" w:rsidP="002558D0">
      <w:pPr>
        <w:pStyle w:val="Listenabsatz"/>
        <w:numPr>
          <w:ilvl w:val="0"/>
          <w:numId w:val="4"/>
        </w:numPr>
      </w:pPr>
      <w:r w:rsidRPr="00E233B2">
        <w:t>Evaluation without window = on</w:t>
      </w:r>
    </w:p>
    <w:p w:rsidR="002558D0" w:rsidRPr="00E233B2" w:rsidRDefault="002558D0" w:rsidP="002558D0">
      <w:pPr>
        <w:pStyle w:val="Listenabsatz"/>
        <w:numPr>
          <w:ilvl w:val="0"/>
          <w:numId w:val="4"/>
        </w:numPr>
      </w:pPr>
      <w:r w:rsidRPr="00E233B2">
        <w:t>End point criterion = 5</w:t>
      </w:r>
    </w:p>
    <w:p w:rsidR="002558D0" w:rsidRPr="00E233B2" w:rsidRDefault="002558D0" w:rsidP="002558D0">
      <w:pPr>
        <w:pStyle w:val="Listenabsatz"/>
        <w:numPr>
          <w:ilvl w:val="0"/>
          <w:numId w:val="4"/>
        </w:numPr>
      </w:pPr>
      <w:r w:rsidRPr="00E233B2">
        <w:t>End point recognition = greatest</w:t>
      </w:r>
    </w:p>
    <w:p w:rsidR="002558D0" w:rsidRPr="00E233B2" w:rsidRDefault="002558D0" w:rsidP="002558D0">
      <w:pPr>
        <w:ind w:left="1080"/>
      </w:pPr>
      <w:r w:rsidRPr="00E233B2">
        <w:tab/>
      </w:r>
    </w:p>
    <w:p w:rsidR="002558D0" w:rsidRPr="00E233B2" w:rsidRDefault="002558D0" w:rsidP="002558D0">
      <w:pPr>
        <w:numPr>
          <w:ilvl w:val="1"/>
          <w:numId w:val="3"/>
        </w:numPr>
      </w:pPr>
      <w:r w:rsidRPr="00E233B2">
        <w:t xml:space="preserve">Standardization of SLS solution – Accurately weigh </w:t>
      </w:r>
      <w:r w:rsidR="00A81C7B" w:rsidRPr="00E233B2">
        <w:t xml:space="preserve">27 </w:t>
      </w:r>
      <w:r w:rsidRPr="00E233B2">
        <w:t>mg of QAC Hyamine ® 1622 into a 125 mL beaker. Add 10 mL of water to dissolve the QAC</w:t>
      </w:r>
      <w:r w:rsidR="00A20599" w:rsidRPr="00E233B2">
        <w:t xml:space="preserve">, </w:t>
      </w:r>
      <w:r w:rsidRPr="00E233B2">
        <w:t>then 80 mL of boric acid buffer solution</w:t>
      </w:r>
      <w:r w:rsidR="00A20599" w:rsidRPr="00E233B2">
        <w:t>, and titrate t</w:t>
      </w:r>
      <w:r w:rsidRPr="00E233B2">
        <w:t>he sample. The end point is determined at the maximum of the first derivative of the titration curve. The standardization is performed in triplicate. Alternately, a solution of 2</w:t>
      </w:r>
      <w:r w:rsidR="00A81C7B" w:rsidRPr="00E233B2">
        <w:t>.7</w:t>
      </w:r>
      <w:r w:rsidRPr="00E233B2">
        <w:t xml:space="preserve"> mg/ml of Hyamine ® 1622 </w:t>
      </w:r>
      <w:r w:rsidR="00F903E9" w:rsidRPr="00E233B2">
        <w:t xml:space="preserve">may </w:t>
      </w:r>
      <w:r w:rsidRPr="00E233B2">
        <w:t xml:space="preserve">be prepared using an appropriate amount of Hyamine ® 1622 weighed into a volumetric flask, diluted with water. </w:t>
      </w:r>
      <w:r w:rsidR="00D71F10" w:rsidRPr="00E233B2">
        <w:t xml:space="preserve">Sonication can be used to dissolve the standard. </w:t>
      </w:r>
      <w:r w:rsidRPr="00E233B2">
        <w:t xml:space="preserve"> A 10 ml aliquot will then </w:t>
      </w:r>
      <w:r w:rsidR="000F0AB4" w:rsidRPr="00E233B2">
        <w:t>equal 27</w:t>
      </w:r>
      <w:r w:rsidR="00A81C7B" w:rsidRPr="00E233B2">
        <w:t xml:space="preserve"> </w:t>
      </w:r>
      <w:r w:rsidRPr="00E233B2">
        <w:t>mg of Hyamine ® 1622.</w:t>
      </w:r>
      <w:r w:rsidR="00F903E9" w:rsidRPr="00E233B2">
        <w:t xml:space="preserve"> </w:t>
      </w:r>
    </w:p>
    <w:p w:rsidR="002558D0" w:rsidRPr="00E233B2" w:rsidRDefault="002558D0" w:rsidP="002558D0">
      <w:pPr>
        <w:numPr>
          <w:ilvl w:val="1"/>
          <w:numId w:val="3"/>
        </w:numPr>
      </w:pPr>
      <w:r w:rsidRPr="00E233B2">
        <w:t xml:space="preserve">Test Solutions – Previously prepared test solutions are titrated similarly to the QAC Hyamine ® 1622 solution. </w:t>
      </w:r>
    </w:p>
    <w:p w:rsidR="00E201EB" w:rsidRDefault="00E201EB">
      <w:r>
        <w:br w:type="page"/>
      </w:r>
    </w:p>
    <w:p w:rsidR="002558D0" w:rsidRPr="00E233B2" w:rsidRDefault="002558D0" w:rsidP="002558D0">
      <w:pPr>
        <w:ind w:left="720"/>
      </w:pPr>
    </w:p>
    <w:p w:rsidR="002558D0" w:rsidRPr="00E233B2" w:rsidRDefault="002558D0" w:rsidP="002558D0">
      <w:pPr>
        <w:pStyle w:val="berschrift7"/>
        <w:rPr>
          <w:rFonts w:ascii="Times New Roman" w:hAnsi="Times New Roman" w:cs="Times New Roman"/>
        </w:rPr>
      </w:pPr>
      <w:r w:rsidRPr="00E233B2">
        <w:rPr>
          <w:rFonts w:ascii="Times New Roman" w:hAnsi="Times New Roman" w:cs="Times New Roman"/>
        </w:rPr>
        <w:t>Calculations</w:t>
      </w:r>
    </w:p>
    <w:p w:rsidR="002558D0" w:rsidRDefault="002558D0" w:rsidP="002558D0">
      <w:pPr>
        <w:rPr>
          <w:rFonts w:ascii="Arial" w:hAnsi="Arial" w:cs="Arial"/>
        </w:rPr>
      </w:pPr>
    </w:p>
    <w:p w:rsidR="002558D0" w:rsidRPr="00E233B2" w:rsidRDefault="002558D0" w:rsidP="002558D0">
      <w:pPr>
        <w:pStyle w:val="Listenabsatz"/>
        <w:numPr>
          <w:ilvl w:val="0"/>
          <w:numId w:val="5"/>
        </w:numPr>
        <w:tabs>
          <w:tab w:val="left" w:pos="1440"/>
        </w:tabs>
        <w:ind w:left="1080"/>
      </w:pPr>
      <w:r w:rsidRPr="00E233B2">
        <w:t>The normality (N) of the SLS titrant is calculated as follows:</w:t>
      </w:r>
    </w:p>
    <w:p w:rsidR="002558D0" w:rsidRPr="00E233B2" w:rsidRDefault="002558D0" w:rsidP="002558D0">
      <w:pPr>
        <w:ind w:left="2160"/>
      </w:pPr>
    </w:p>
    <w:p w:rsidR="002558D0" w:rsidRPr="00E233B2" w:rsidRDefault="002558D0" w:rsidP="002558D0">
      <w:pPr>
        <w:pStyle w:val="berschrift2"/>
        <w:ind w:left="360" w:firstLine="720"/>
        <w:rPr>
          <w:u w:val="single"/>
        </w:rPr>
      </w:pPr>
      <w:r w:rsidRPr="00E233B2">
        <w:t xml:space="preserve">N = </w:t>
      </w:r>
      <w:r w:rsidRPr="00E233B2">
        <w:rPr>
          <w:u w:val="single"/>
        </w:rPr>
        <w:t>(Quat nitrogen of standard) (weight of standard in mg)</w:t>
      </w:r>
    </w:p>
    <w:p w:rsidR="002558D0" w:rsidRPr="00E233B2" w:rsidRDefault="002558D0" w:rsidP="002558D0">
      <w:pPr>
        <w:ind w:left="3240"/>
      </w:pPr>
      <w:r w:rsidRPr="00E233B2">
        <w:t>(</w:t>
      </w:r>
      <w:proofErr w:type="gramStart"/>
      <w:r w:rsidRPr="00E233B2">
        <w:t>mL</w:t>
      </w:r>
      <w:proofErr w:type="gramEnd"/>
      <w:r w:rsidRPr="00E233B2">
        <w:t xml:space="preserve"> of SLS used) (1400) </w:t>
      </w:r>
    </w:p>
    <w:p w:rsidR="002558D0" w:rsidRPr="00E233B2" w:rsidRDefault="002558D0" w:rsidP="002558D0"/>
    <w:p w:rsidR="002558D0" w:rsidRPr="00E233B2" w:rsidRDefault="002558D0" w:rsidP="002558D0">
      <w:pPr>
        <w:pStyle w:val="Listenabsatz"/>
        <w:numPr>
          <w:ilvl w:val="0"/>
          <w:numId w:val="5"/>
        </w:numPr>
        <w:tabs>
          <w:tab w:val="left" w:pos="1080"/>
        </w:tabs>
        <w:ind w:left="1080"/>
      </w:pPr>
      <w:r w:rsidRPr="00E233B2">
        <w:t>The percent quaternary nitrogen found in a sample is calculated as follows:</w:t>
      </w:r>
    </w:p>
    <w:p w:rsidR="002558D0" w:rsidRPr="00E233B2" w:rsidRDefault="002558D0" w:rsidP="002558D0"/>
    <w:p w:rsidR="002558D0" w:rsidRPr="00E233B2" w:rsidRDefault="002558D0" w:rsidP="002558D0">
      <w:pPr>
        <w:pStyle w:val="Listenabsatz"/>
        <w:ind w:left="1080"/>
      </w:pPr>
      <w:r w:rsidRPr="00E233B2">
        <w:t xml:space="preserve">% Quat nitrogen = </w:t>
      </w:r>
      <w:r w:rsidRPr="00E233B2">
        <w:rPr>
          <w:u w:val="single"/>
        </w:rPr>
        <w:t>(SLS Normality) (mL of SLS used) (1400)</w:t>
      </w:r>
      <w:r w:rsidRPr="00E233B2">
        <w:tab/>
      </w:r>
    </w:p>
    <w:p w:rsidR="002558D0" w:rsidRPr="00E233B2" w:rsidRDefault="002558D0" w:rsidP="002558D0">
      <w:pPr>
        <w:ind w:left="3240"/>
      </w:pPr>
      <w:r w:rsidRPr="00E233B2">
        <w:t>(</w:t>
      </w:r>
      <w:proofErr w:type="gramStart"/>
      <w:r w:rsidRPr="00E233B2">
        <w:t>weight</w:t>
      </w:r>
      <w:proofErr w:type="gramEnd"/>
      <w:r w:rsidRPr="00E233B2">
        <w:t xml:space="preserve"> of sample in mg)</w:t>
      </w:r>
    </w:p>
    <w:p w:rsidR="002558D0" w:rsidRPr="00E233B2" w:rsidRDefault="002558D0" w:rsidP="002558D0"/>
    <w:p w:rsidR="002558D0" w:rsidRPr="00E005E7" w:rsidRDefault="002558D0" w:rsidP="002558D0">
      <w:pPr>
        <w:pStyle w:val="Listenabsatz"/>
        <w:numPr>
          <w:ilvl w:val="0"/>
          <w:numId w:val="5"/>
        </w:numPr>
        <w:ind w:left="1080"/>
        <w:rPr>
          <w:rFonts w:ascii="Arial" w:hAnsi="Arial" w:cs="Arial"/>
        </w:rPr>
      </w:pPr>
      <w:r w:rsidRPr="00E233B2">
        <w:t>The percent QAC found in a sample is calculated as follows</w:t>
      </w:r>
      <w:r w:rsidRPr="00E005E7">
        <w:rPr>
          <w:rFonts w:ascii="Arial" w:hAnsi="Arial" w:cs="Arial"/>
        </w:rPr>
        <w:t>:</w:t>
      </w:r>
    </w:p>
    <w:p w:rsidR="002558D0" w:rsidRDefault="002558D0" w:rsidP="002558D0">
      <w:pPr>
        <w:rPr>
          <w:rFonts w:ascii="Arial" w:hAnsi="Arial" w:cs="Arial"/>
        </w:rPr>
      </w:pPr>
    </w:p>
    <w:p w:rsidR="002558D0" w:rsidRDefault="002558D0" w:rsidP="002558D0">
      <w:pPr>
        <w:rPr>
          <w:rFonts w:ascii="Arial" w:hAnsi="Arial" w:cs="Arial"/>
        </w:rPr>
      </w:pPr>
      <m:oMathPara>
        <m:oMath>
          <m:r>
            <w:rPr>
              <w:rFonts w:ascii="Cambria Math" w:hAnsi="Cambria Math" w:cs="Arial"/>
            </w:rPr>
            <m:t xml:space="preserve">% Total QAC found= </m:t>
          </m:r>
          <m:nary>
            <m:naryPr>
              <m:chr m:val="∑"/>
              <m:limLoc m:val="undOvr"/>
              <m:subHide m:val="1"/>
              <m:supHide m:val="1"/>
              <m:ctrlPr>
                <w:rPr>
                  <w:rFonts w:ascii="Cambria Math" w:hAnsi="Cambria Math" w:cs="Arial"/>
                  <w:i/>
                </w:rPr>
              </m:ctrlPr>
            </m:naryPr>
            <m:sub/>
            <m:sup/>
            <m:e/>
          </m:nary>
          <m:d>
            <m:dPr>
              <m:begChr m:val="["/>
              <m:endChr m:val="]"/>
              <m:ctrlPr>
                <w:rPr>
                  <w:rFonts w:ascii="Cambria Math" w:hAnsi="Cambria Math" w:cs="Arial"/>
                  <w:i/>
                </w:rPr>
              </m:ctrlPr>
            </m:dPr>
            <m:e>
              <m:d>
                <m:dPr>
                  <m:ctrlPr>
                    <w:rPr>
                      <w:rFonts w:ascii="Cambria Math" w:hAnsi="Cambria Math" w:cs="Arial"/>
                      <w:i/>
                    </w:rPr>
                  </m:ctrlPr>
                </m:dPr>
                <m:e>
                  <m:r>
                    <w:rPr>
                      <w:rFonts w:ascii="Cambria Math" w:hAnsi="Cambria Math" w:cs="Arial"/>
                    </w:rPr>
                    <m:t>% Quat nitrogen found</m:t>
                  </m:r>
                </m:e>
              </m:d>
              <m:f>
                <m:fPr>
                  <m:ctrlPr>
                    <w:rPr>
                      <w:rFonts w:ascii="Cambria Math" w:hAnsi="Cambria Math" w:cs="Arial"/>
                      <w:i/>
                    </w:rPr>
                  </m:ctrlPr>
                </m:fPr>
                <m:num>
                  <m:d>
                    <m:dPr>
                      <m:ctrlPr>
                        <w:rPr>
                          <w:rFonts w:ascii="Cambria Math" w:hAnsi="Cambria Math" w:cs="Arial"/>
                          <w:i/>
                        </w:rPr>
                      </m:ctrlPr>
                    </m:dPr>
                    <m:e>
                      <m:f>
                        <m:fPr>
                          <m:ctrlPr>
                            <w:rPr>
                              <w:rFonts w:ascii="Cambria Math" w:hAnsi="Cambria Math" w:cs="Arial"/>
                              <w:i/>
                            </w:rPr>
                          </m:ctrlPr>
                        </m:fPr>
                        <m:num>
                          <m:r>
                            <w:rPr>
                              <w:rFonts w:ascii="Cambria Math" w:hAnsi="Cambria Math" w:cs="Arial"/>
                            </w:rPr>
                            <m:t>% Claimed QAC</m:t>
                          </m:r>
                        </m:num>
                        <m:den>
                          <m:r>
                            <w:rPr>
                              <w:rFonts w:ascii="Cambria Math" w:hAnsi="Cambria Math" w:cs="Arial"/>
                            </w:rPr>
                            <m:t>% Claimed Total QAC</m:t>
                          </m:r>
                        </m:den>
                      </m:f>
                    </m:e>
                  </m:d>
                </m:num>
                <m:den>
                  <m:d>
                    <m:dPr>
                      <m:ctrlPr>
                        <w:rPr>
                          <w:rFonts w:ascii="Cambria Math" w:hAnsi="Cambria Math" w:cs="Arial"/>
                          <w:i/>
                        </w:rPr>
                      </m:ctrlPr>
                    </m:dPr>
                    <m:e>
                      <m:f>
                        <m:fPr>
                          <m:ctrlPr>
                            <w:rPr>
                              <w:rFonts w:ascii="Cambria Math" w:hAnsi="Cambria Math" w:cs="Arial"/>
                              <w:i/>
                            </w:rPr>
                          </m:ctrlPr>
                        </m:fPr>
                        <m:num>
                          <m:r>
                            <w:rPr>
                              <w:rFonts w:ascii="Cambria Math" w:hAnsi="Cambria Math" w:cs="Arial"/>
                            </w:rPr>
                            <m:t>MW of Nitrogen</m:t>
                          </m:r>
                        </m:num>
                        <m:den>
                          <m:r>
                            <w:rPr>
                              <w:rFonts w:ascii="Cambria Math" w:hAnsi="Cambria Math" w:cs="Arial"/>
                            </w:rPr>
                            <m:t>MW of QAC*</m:t>
                          </m:r>
                        </m:den>
                      </m:f>
                    </m:e>
                  </m:d>
                </m:den>
              </m:f>
            </m:e>
          </m:d>
        </m:oMath>
      </m:oMathPara>
    </w:p>
    <w:p w:rsidR="002558D0" w:rsidRDefault="002558D0" w:rsidP="002558D0">
      <w:pPr>
        <w:ind w:left="1440"/>
        <w:rPr>
          <w:rFonts w:ascii="Arial" w:hAnsi="Arial" w:cs="Arial"/>
        </w:rPr>
      </w:pPr>
    </w:p>
    <w:p w:rsidR="002558D0" w:rsidRPr="00E233B2" w:rsidRDefault="002558D0" w:rsidP="002558D0">
      <w:pPr>
        <w:ind w:left="1440"/>
      </w:pPr>
    </w:p>
    <w:p w:rsidR="002558D0" w:rsidRPr="00E233B2" w:rsidRDefault="002558D0" w:rsidP="002558D0">
      <w:r w:rsidRPr="00E233B2">
        <w:t>*Please refer to table 1 for the MW of the Quat and example calculation for a sample with a mixture of different Quats</w:t>
      </w:r>
    </w:p>
    <w:p w:rsidR="002558D0" w:rsidRPr="00E233B2" w:rsidRDefault="002558D0" w:rsidP="002558D0"/>
    <w:p w:rsidR="002558D0" w:rsidRPr="00E233B2" w:rsidRDefault="002558D0" w:rsidP="002558D0">
      <w:r w:rsidRPr="00E233B2">
        <w:t>Frequently products contain multiple QACs in different amounts.  The nitrogen percent guaranteed is calculated for the product by adding the percent quaternary nitrogen contributions of all QAC claimed:</w:t>
      </w:r>
    </w:p>
    <w:p w:rsidR="002558D0" w:rsidRDefault="002558D0" w:rsidP="002558D0">
      <w:pPr>
        <w:rPr>
          <w:rFonts w:ascii="Arial" w:hAnsi="Arial" w:cs="Arial"/>
        </w:rPr>
      </w:pPr>
    </w:p>
    <w:p w:rsidR="002558D0" w:rsidRPr="00641654" w:rsidRDefault="002558D0" w:rsidP="002558D0">
      <w:pPr>
        <w:rPr>
          <w:rFonts w:ascii="Arial" w:hAnsi="Arial" w:cs="Arial"/>
        </w:rPr>
      </w:pPr>
    </w:p>
    <w:p w:rsidR="002558D0" w:rsidRPr="00641654" w:rsidRDefault="002558D0" w:rsidP="002558D0">
      <w:pPr>
        <w:rPr>
          <w:rFonts w:ascii="Arial" w:hAnsi="Arial" w:cs="Arial"/>
          <w:sz w:val="20"/>
          <w:szCs w:val="20"/>
        </w:rPr>
      </w:pPr>
      <m:oMathPara>
        <m:oMath>
          <m:r>
            <w:rPr>
              <w:rFonts w:ascii="Cambria Math" w:hAnsi="Arial" w:cs="Arial"/>
              <w:sz w:val="20"/>
              <w:szCs w:val="20"/>
            </w:rPr>
            <m:t xml:space="preserve">% </m:t>
          </m:r>
          <m:r>
            <w:rPr>
              <w:rFonts w:ascii="Cambria Math" w:hAnsi="Cambria Math" w:cs="Arial"/>
              <w:sz w:val="20"/>
              <w:szCs w:val="20"/>
            </w:rPr>
            <m:t>Quaternary</m:t>
          </m:r>
          <m:r>
            <w:rPr>
              <w:rFonts w:ascii="Cambria Math" w:hAnsi="Arial" w:cs="Arial"/>
              <w:sz w:val="20"/>
              <w:szCs w:val="20"/>
            </w:rPr>
            <m:t xml:space="preserve"> </m:t>
          </m:r>
          <m:r>
            <w:rPr>
              <w:rFonts w:ascii="Cambria Math" w:hAnsi="Cambria Math" w:cs="Arial"/>
              <w:sz w:val="20"/>
              <w:szCs w:val="20"/>
            </w:rPr>
            <m:t>nitrogen</m:t>
          </m:r>
          <m:r>
            <w:rPr>
              <w:rFonts w:ascii="Cambria Math" w:hAnsi="Arial" w:cs="Arial"/>
              <w:sz w:val="20"/>
              <w:szCs w:val="20"/>
            </w:rPr>
            <m:t xml:space="preserve"> </m:t>
          </m:r>
          <m:r>
            <w:rPr>
              <w:rFonts w:ascii="Cambria Math" w:hAnsi="Cambria Math" w:cs="Arial"/>
              <w:sz w:val="20"/>
              <w:szCs w:val="20"/>
            </w:rPr>
            <m:t>guaranteed</m:t>
          </m:r>
          <m:r>
            <w:rPr>
              <w:rFonts w:ascii="Cambria Math" w:hAnsi="Arial" w:cs="Arial"/>
              <w:sz w:val="20"/>
              <w:szCs w:val="20"/>
            </w:rPr>
            <m:t xml:space="preserve">= </m:t>
          </m:r>
          <m:nary>
            <m:naryPr>
              <m:chr m:val="∑"/>
              <m:limLoc m:val="undOvr"/>
              <m:subHide m:val="1"/>
              <m:supHide m:val="1"/>
              <m:ctrlPr>
                <w:rPr>
                  <w:rFonts w:ascii="Cambria Math" w:hAnsi="Arial" w:cs="Arial"/>
                  <w:i/>
                  <w:sz w:val="20"/>
                  <w:szCs w:val="20"/>
                </w:rPr>
              </m:ctrlPr>
            </m:naryPr>
            <m:sub/>
            <m:sup/>
            <m:e/>
          </m:nary>
          <m:d>
            <m:dPr>
              <m:begChr m:val="["/>
              <m:endChr m:val="]"/>
              <m:ctrlPr>
                <w:rPr>
                  <w:rFonts w:ascii="Cambria Math" w:hAnsi="Arial" w:cs="Arial"/>
                  <w:i/>
                  <w:sz w:val="20"/>
                  <w:szCs w:val="20"/>
                </w:rPr>
              </m:ctrlPr>
            </m:dPr>
            <m:e>
              <m:f>
                <m:fPr>
                  <m:ctrlPr>
                    <w:rPr>
                      <w:rFonts w:ascii="Cambria Math" w:hAnsi="Arial" w:cs="Arial"/>
                      <w:i/>
                      <w:sz w:val="20"/>
                      <w:szCs w:val="20"/>
                    </w:rPr>
                  </m:ctrlPr>
                </m:fPr>
                <m:num>
                  <m:d>
                    <m:dPr>
                      <m:ctrlPr>
                        <w:rPr>
                          <w:rFonts w:ascii="Cambria Math" w:hAnsi="Arial" w:cs="Arial"/>
                          <w:i/>
                          <w:sz w:val="20"/>
                          <w:szCs w:val="20"/>
                        </w:rPr>
                      </m:ctrlPr>
                    </m:dPr>
                    <m:e>
                      <m:r>
                        <w:rPr>
                          <w:rFonts w:ascii="Cambria Math" w:hAnsi="Cambria Math" w:cs="Arial"/>
                          <w:sz w:val="20"/>
                          <w:szCs w:val="20"/>
                        </w:rPr>
                        <m:t>MW</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nitrogen</m:t>
                      </m:r>
                    </m:e>
                  </m:d>
                </m:num>
                <m:den>
                  <m:d>
                    <m:dPr>
                      <m:ctrlPr>
                        <w:rPr>
                          <w:rFonts w:ascii="Cambria Math" w:hAnsi="Arial" w:cs="Arial"/>
                          <w:i/>
                          <w:sz w:val="20"/>
                          <w:szCs w:val="20"/>
                        </w:rPr>
                      </m:ctrlPr>
                    </m:dPr>
                    <m:e>
                      <m:r>
                        <w:rPr>
                          <w:rFonts w:ascii="Cambria Math" w:hAnsi="Cambria Math" w:cs="Arial"/>
                          <w:sz w:val="20"/>
                          <w:szCs w:val="20"/>
                        </w:rPr>
                        <m:t>MW</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QAC</m:t>
                      </m:r>
                    </m:e>
                  </m:d>
                </m:den>
              </m:f>
            </m:e>
          </m:d>
          <m:d>
            <m:dPr>
              <m:ctrlPr>
                <w:rPr>
                  <w:rFonts w:ascii="Cambria Math" w:hAnsi="Arial" w:cs="Arial"/>
                  <w:i/>
                  <w:sz w:val="20"/>
                  <w:szCs w:val="20"/>
                </w:rPr>
              </m:ctrlPr>
            </m:dPr>
            <m:e>
              <m:r>
                <w:rPr>
                  <w:rFonts w:ascii="Cambria Math" w:hAnsi="Arial" w:cs="Arial"/>
                  <w:sz w:val="20"/>
                  <w:szCs w:val="20"/>
                </w:rPr>
                <m:t xml:space="preserve">% </m:t>
              </m:r>
              <m:r>
                <w:rPr>
                  <w:rFonts w:ascii="Cambria Math" w:hAnsi="Cambria Math" w:cs="Arial"/>
                  <w:sz w:val="20"/>
                  <w:szCs w:val="20"/>
                </w:rPr>
                <m:t>QAC</m:t>
              </m:r>
              <m:r>
                <w:rPr>
                  <w:rFonts w:ascii="Cambria Math" w:hAnsi="Arial" w:cs="Arial"/>
                  <w:sz w:val="20"/>
                  <w:szCs w:val="20"/>
                </w:rPr>
                <m:t xml:space="preserve"> </m:t>
              </m:r>
              <m:r>
                <w:rPr>
                  <w:rFonts w:ascii="Cambria Math" w:hAnsi="Cambria Math" w:cs="Arial"/>
                  <w:sz w:val="20"/>
                  <w:szCs w:val="20"/>
                </w:rPr>
                <m:t>claimed</m:t>
              </m:r>
              <m:r>
                <w:rPr>
                  <w:rFonts w:ascii="Cambria Math" w:hAnsi="Arial" w:cs="Arial"/>
                  <w:sz w:val="20"/>
                  <w:szCs w:val="20"/>
                </w:rPr>
                <m:t xml:space="preserve"> </m:t>
              </m:r>
              <m:r>
                <w:rPr>
                  <w:rFonts w:ascii="Cambria Math" w:hAnsi="Cambria Math" w:cs="Arial"/>
                  <w:sz w:val="20"/>
                  <w:szCs w:val="20"/>
                </w:rPr>
                <m:t>for</m:t>
              </m:r>
              <m:r>
                <w:rPr>
                  <w:rFonts w:ascii="Cambria Math" w:hAnsi="Arial" w:cs="Arial"/>
                  <w:sz w:val="20"/>
                  <w:szCs w:val="20"/>
                </w:rPr>
                <m:t xml:space="preserve"> </m:t>
              </m:r>
              <m:r>
                <w:rPr>
                  <w:rFonts w:ascii="Cambria Math" w:hAnsi="Cambria Math" w:cs="Arial"/>
                  <w:sz w:val="20"/>
                  <w:szCs w:val="20"/>
                </w:rPr>
                <m:t>product</m:t>
              </m:r>
            </m:e>
          </m:d>
        </m:oMath>
      </m:oMathPara>
    </w:p>
    <w:p w:rsidR="002558D0" w:rsidRDefault="002558D0" w:rsidP="002558D0">
      <w:pPr>
        <w:rPr>
          <w:rFonts w:ascii="Arial" w:hAnsi="Arial" w:cs="Arial"/>
        </w:rPr>
      </w:pPr>
    </w:p>
    <w:p w:rsidR="002558D0" w:rsidRPr="00E233B2" w:rsidRDefault="002558D0" w:rsidP="002558D0"/>
    <w:p w:rsidR="002558D0" w:rsidRPr="00E233B2" w:rsidRDefault="002558D0" w:rsidP="002558D0">
      <w:r w:rsidRPr="00E233B2">
        <w:t xml:space="preserve">Where MW of nitrogen is </w:t>
      </w:r>
      <w:r w:rsidR="000F0AB4" w:rsidRPr="00E233B2">
        <w:t>14.007</w:t>
      </w:r>
      <w:r w:rsidRPr="00E233B2">
        <w:t xml:space="preserve"> and MW of QAC is the MW of each individual QAC.  Excel spreadsheet in study package for a list of Quat factors for the more commonly used active ingredients.</w:t>
      </w:r>
    </w:p>
    <w:p w:rsidR="002558D0" w:rsidRPr="00E233B2" w:rsidRDefault="002558D0" w:rsidP="002558D0"/>
    <w:p w:rsidR="002558D0" w:rsidRDefault="002558D0" w:rsidP="005035CE">
      <w:pPr>
        <w:jc w:val="both"/>
      </w:pPr>
    </w:p>
    <w:p w:rsidR="00BA022E" w:rsidRPr="00641654" w:rsidRDefault="00BA022E" w:rsidP="00F9043E">
      <w:pPr>
        <w:rPr>
          <w:rFonts w:ascii="Arial" w:hAnsi="Arial" w:cs="Arial"/>
        </w:rPr>
      </w:pPr>
    </w:p>
    <w:p w:rsidR="00BA022E" w:rsidRDefault="00BA022E" w:rsidP="00F9043E"/>
    <w:p w:rsidR="00A81C7B" w:rsidRDefault="00A81C7B" w:rsidP="00F9043E"/>
    <w:p w:rsidR="00A81C7B" w:rsidRDefault="00A81C7B" w:rsidP="00F9043E"/>
    <w:p w:rsidR="00BF73BB" w:rsidRDefault="00BF73BB" w:rsidP="00F9043E">
      <w:pPr>
        <w:rPr>
          <w:b/>
        </w:rPr>
      </w:pPr>
    </w:p>
    <w:p w:rsidR="00BF73BB" w:rsidRDefault="00BF73BB" w:rsidP="00F9043E">
      <w:pPr>
        <w:rPr>
          <w:b/>
        </w:rPr>
      </w:pPr>
    </w:p>
    <w:p w:rsidR="00BF73BB" w:rsidRDefault="00BF73BB" w:rsidP="00F9043E">
      <w:pPr>
        <w:rPr>
          <w:b/>
        </w:rPr>
      </w:pPr>
    </w:p>
    <w:p w:rsidR="00E201EB" w:rsidRDefault="00E201EB">
      <w:pPr>
        <w:rPr>
          <w:b/>
        </w:rPr>
      </w:pPr>
      <w:r>
        <w:rPr>
          <w:b/>
        </w:rPr>
        <w:br w:type="page"/>
      </w:r>
    </w:p>
    <w:p w:rsidR="00BA022E" w:rsidRPr="00E233B2" w:rsidRDefault="00BA022E" w:rsidP="00F9043E">
      <w:pPr>
        <w:rPr>
          <w:b/>
        </w:rPr>
      </w:pPr>
      <w:r w:rsidRPr="00BA022E">
        <w:rPr>
          <w:b/>
        </w:rPr>
        <w:lastRenderedPageBreak/>
        <w:t>Table 1</w:t>
      </w:r>
      <w:r w:rsidRPr="00E233B2">
        <w:rPr>
          <w:b/>
        </w:rPr>
        <w:t>:</w:t>
      </w:r>
      <w:r w:rsidR="00AF3CCE" w:rsidRPr="00E233B2">
        <w:rPr>
          <w:b/>
        </w:rPr>
        <w:t xml:space="preserve">  </w:t>
      </w:r>
      <w:r w:rsidR="00AF3CCE" w:rsidRPr="00E233B2">
        <w:rPr>
          <w:color w:val="000000"/>
        </w:rPr>
        <w:t xml:space="preserve">Example Table for Calculating </w:t>
      </w:r>
      <w:proofErr w:type="spellStart"/>
      <w:r w:rsidR="00AF3CCE" w:rsidRPr="00E233B2">
        <w:rPr>
          <w:color w:val="000000"/>
        </w:rPr>
        <w:t>Quats</w:t>
      </w:r>
      <w:proofErr w:type="spellEnd"/>
      <w:r w:rsidR="00AF3CCE" w:rsidRPr="00E233B2">
        <w:rPr>
          <w:color w:val="000000"/>
        </w:rPr>
        <w:t xml:space="preserve"> Showing Example Calculation</w:t>
      </w:r>
    </w:p>
    <w:p w:rsidR="00BA022E" w:rsidRPr="00E233B2" w:rsidRDefault="00BA022E" w:rsidP="00F9043E">
      <w:pPr>
        <w:rPr>
          <w:b/>
        </w:rPr>
      </w:pPr>
    </w:p>
    <w:tbl>
      <w:tblPr>
        <w:tblW w:w="8628" w:type="dxa"/>
        <w:tblInd w:w="108" w:type="dxa"/>
        <w:tblLook w:val="04A0" w:firstRow="1" w:lastRow="0" w:firstColumn="1" w:lastColumn="0" w:noHBand="0" w:noVBand="1"/>
      </w:tblPr>
      <w:tblGrid>
        <w:gridCol w:w="3916"/>
        <w:gridCol w:w="1956"/>
        <w:gridCol w:w="2756"/>
      </w:tblGrid>
      <w:tr w:rsidR="00BA022E" w:rsidRPr="00E233B2" w:rsidTr="00277818">
        <w:trPr>
          <w:trHeight w:val="80"/>
        </w:trPr>
        <w:tc>
          <w:tcPr>
            <w:tcW w:w="3916" w:type="dxa"/>
            <w:tcBorders>
              <w:top w:val="nil"/>
              <w:left w:val="nil"/>
              <w:bottom w:val="nil"/>
              <w:right w:val="nil"/>
            </w:tcBorders>
            <w:shd w:val="clear" w:color="auto" w:fill="auto"/>
            <w:noWrap/>
            <w:vAlign w:val="bottom"/>
            <w:hideMark/>
          </w:tcPr>
          <w:p w:rsidR="00BA022E" w:rsidRPr="00E233B2" w:rsidRDefault="00BA022E" w:rsidP="00BA022E">
            <w:pPr>
              <w:rPr>
                <w:color w:val="000000"/>
              </w:rPr>
            </w:pPr>
          </w:p>
        </w:tc>
        <w:tc>
          <w:tcPr>
            <w:tcW w:w="1956" w:type="dxa"/>
            <w:tcBorders>
              <w:top w:val="nil"/>
              <w:left w:val="nil"/>
              <w:bottom w:val="nil"/>
              <w:right w:val="nil"/>
            </w:tcBorders>
            <w:shd w:val="clear" w:color="auto" w:fill="auto"/>
            <w:noWrap/>
            <w:vAlign w:val="bottom"/>
            <w:hideMark/>
          </w:tcPr>
          <w:p w:rsidR="00BA022E" w:rsidRPr="00E233B2" w:rsidRDefault="00BA022E" w:rsidP="00BA022E">
            <w:pPr>
              <w:rPr>
                <w:color w:val="000000"/>
              </w:rPr>
            </w:pPr>
          </w:p>
        </w:tc>
        <w:tc>
          <w:tcPr>
            <w:tcW w:w="2756" w:type="dxa"/>
            <w:tcBorders>
              <w:top w:val="nil"/>
              <w:left w:val="nil"/>
              <w:bottom w:val="nil"/>
              <w:right w:val="nil"/>
            </w:tcBorders>
            <w:shd w:val="clear" w:color="auto" w:fill="auto"/>
            <w:noWrap/>
            <w:vAlign w:val="bottom"/>
            <w:hideMark/>
          </w:tcPr>
          <w:p w:rsidR="00BA022E" w:rsidRPr="00E233B2" w:rsidRDefault="00BA022E" w:rsidP="00BA022E">
            <w:pPr>
              <w:rPr>
                <w:color w:val="000000"/>
              </w:rPr>
            </w:pPr>
          </w:p>
        </w:tc>
      </w:tr>
      <w:tr w:rsidR="00277818" w:rsidRPr="00E233B2" w:rsidTr="00826FE5">
        <w:trPr>
          <w:trHeight w:val="315"/>
        </w:trPr>
        <w:tc>
          <w:tcPr>
            <w:tcW w:w="3916" w:type="dxa"/>
            <w:tcBorders>
              <w:top w:val="nil"/>
              <w:left w:val="nil"/>
              <w:bottom w:val="single" w:sz="4" w:space="0" w:color="auto"/>
              <w:right w:val="nil"/>
            </w:tcBorders>
            <w:shd w:val="clear" w:color="auto" w:fill="auto"/>
            <w:noWrap/>
            <w:vAlign w:val="bottom"/>
            <w:hideMark/>
          </w:tcPr>
          <w:p w:rsidR="00277818" w:rsidRPr="00E233B2" w:rsidRDefault="00277818" w:rsidP="00BA022E">
            <w:pPr>
              <w:rPr>
                <w:b/>
                <w:color w:val="000000"/>
              </w:rPr>
            </w:pPr>
            <w:r w:rsidRPr="00E233B2">
              <w:rPr>
                <w:b/>
                <w:color w:val="000000"/>
              </w:rPr>
              <w:t>molecular weight of each compound</w:t>
            </w:r>
          </w:p>
        </w:tc>
        <w:tc>
          <w:tcPr>
            <w:tcW w:w="1956" w:type="dxa"/>
            <w:tcBorders>
              <w:top w:val="nil"/>
              <w:left w:val="nil"/>
              <w:bottom w:val="single" w:sz="4" w:space="0" w:color="auto"/>
              <w:right w:val="nil"/>
            </w:tcBorders>
            <w:shd w:val="clear" w:color="auto" w:fill="auto"/>
            <w:noWrap/>
            <w:vAlign w:val="bottom"/>
            <w:hideMark/>
          </w:tcPr>
          <w:p w:rsidR="00277818" w:rsidRPr="00E233B2" w:rsidRDefault="00277818" w:rsidP="00BA022E">
            <w:pPr>
              <w:rPr>
                <w:b/>
                <w:color w:val="000000"/>
              </w:rPr>
            </w:pPr>
            <w:r w:rsidRPr="00E233B2">
              <w:rPr>
                <w:b/>
                <w:color w:val="000000"/>
              </w:rPr>
              <w:t>claim level %</w:t>
            </w:r>
          </w:p>
        </w:tc>
        <w:tc>
          <w:tcPr>
            <w:tcW w:w="2756" w:type="dxa"/>
            <w:tcBorders>
              <w:top w:val="nil"/>
              <w:left w:val="nil"/>
              <w:bottom w:val="single" w:sz="4" w:space="0" w:color="auto"/>
              <w:right w:val="nil"/>
            </w:tcBorders>
            <w:shd w:val="clear" w:color="auto" w:fill="auto"/>
            <w:noWrap/>
            <w:vAlign w:val="bottom"/>
            <w:hideMark/>
          </w:tcPr>
          <w:p w:rsidR="00277818" w:rsidRPr="00E233B2" w:rsidRDefault="00277818" w:rsidP="00277818">
            <w:pPr>
              <w:jc w:val="center"/>
              <w:rPr>
                <w:b/>
                <w:color w:val="000000"/>
              </w:rPr>
            </w:pPr>
            <w:r w:rsidRPr="00E233B2">
              <w:rPr>
                <w:b/>
                <w:color w:val="000000"/>
              </w:rPr>
              <w:t>adjusted molecular weight</w:t>
            </w:r>
          </w:p>
        </w:tc>
      </w:tr>
      <w:tr w:rsidR="00277818" w:rsidRPr="00E233B2" w:rsidTr="00826FE5">
        <w:trPr>
          <w:trHeight w:val="315"/>
        </w:trPr>
        <w:tc>
          <w:tcPr>
            <w:tcW w:w="3916" w:type="dxa"/>
            <w:tcBorders>
              <w:top w:val="single" w:sz="4" w:space="0" w:color="auto"/>
              <w:left w:val="single" w:sz="4" w:space="0" w:color="auto"/>
              <w:bottom w:val="single" w:sz="6" w:space="0" w:color="auto"/>
              <w:right w:val="single" w:sz="6" w:space="0" w:color="auto"/>
            </w:tcBorders>
            <w:shd w:val="clear" w:color="auto" w:fill="auto"/>
            <w:noWrap/>
            <w:vAlign w:val="bottom"/>
            <w:hideMark/>
          </w:tcPr>
          <w:p w:rsidR="00277818" w:rsidRPr="00E233B2" w:rsidRDefault="00277818" w:rsidP="00BA022E">
            <w:pPr>
              <w:jc w:val="right"/>
              <w:rPr>
                <w:color w:val="000000"/>
              </w:rPr>
            </w:pPr>
            <w:r w:rsidRPr="00E233B2">
              <w:rPr>
                <w:color w:val="000000"/>
              </w:rPr>
              <w:t>359.6</w:t>
            </w:r>
          </w:p>
        </w:tc>
        <w:tc>
          <w:tcPr>
            <w:tcW w:w="1956"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rsidR="00277818" w:rsidRPr="00E233B2" w:rsidRDefault="00277818" w:rsidP="00BA022E">
            <w:pPr>
              <w:jc w:val="right"/>
              <w:rPr>
                <w:color w:val="000000"/>
              </w:rPr>
            </w:pPr>
            <w:r w:rsidRPr="00E233B2">
              <w:rPr>
                <w:color w:val="000000"/>
              </w:rPr>
              <w:t>1.085</w:t>
            </w:r>
          </w:p>
        </w:tc>
        <w:tc>
          <w:tcPr>
            <w:tcW w:w="2756" w:type="dxa"/>
            <w:tcBorders>
              <w:top w:val="single" w:sz="4" w:space="0" w:color="auto"/>
              <w:left w:val="single" w:sz="6" w:space="0" w:color="auto"/>
              <w:bottom w:val="single" w:sz="6" w:space="0" w:color="auto"/>
              <w:right w:val="single" w:sz="4" w:space="0" w:color="auto"/>
            </w:tcBorders>
            <w:shd w:val="clear" w:color="auto" w:fill="auto"/>
            <w:noWrap/>
            <w:vAlign w:val="bottom"/>
            <w:hideMark/>
          </w:tcPr>
          <w:p w:rsidR="00277818" w:rsidRPr="00E233B2" w:rsidRDefault="00277818" w:rsidP="00BA022E">
            <w:pPr>
              <w:jc w:val="right"/>
              <w:rPr>
                <w:color w:val="000000"/>
              </w:rPr>
            </w:pPr>
            <w:r w:rsidRPr="00E233B2">
              <w:rPr>
                <w:color w:val="000000"/>
              </w:rPr>
              <w:t>143.8135</w:t>
            </w:r>
          </w:p>
        </w:tc>
      </w:tr>
      <w:tr w:rsidR="00277818" w:rsidRPr="00E233B2" w:rsidTr="00826FE5">
        <w:trPr>
          <w:trHeight w:val="315"/>
        </w:trPr>
        <w:tc>
          <w:tcPr>
            <w:tcW w:w="3916"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277818" w:rsidRPr="00E233B2" w:rsidRDefault="00277818" w:rsidP="00BA022E">
            <w:pPr>
              <w:jc w:val="right"/>
              <w:rPr>
                <w:color w:val="000000"/>
              </w:rPr>
            </w:pPr>
            <w:r w:rsidRPr="00E233B2">
              <w:rPr>
                <w:color w:val="000000"/>
              </w:rPr>
              <w:t>305.97</w:t>
            </w:r>
          </w:p>
        </w:tc>
        <w:tc>
          <w:tcPr>
            <w:tcW w:w="1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277818" w:rsidRPr="00E233B2" w:rsidRDefault="00277818" w:rsidP="00BA022E">
            <w:pPr>
              <w:jc w:val="right"/>
              <w:rPr>
                <w:color w:val="000000"/>
              </w:rPr>
            </w:pPr>
            <w:r w:rsidRPr="00E233B2">
              <w:rPr>
                <w:color w:val="000000"/>
              </w:rPr>
              <w:t>0.407</w:t>
            </w:r>
          </w:p>
        </w:tc>
        <w:tc>
          <w:tcPr>
            <w:tcW w:w="275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277818" w:rsidRPr="00E233B2" w:rsidRDefault="00277818" w:rsidP="00BA022E">
            <w:pPr>
              <w:jc w:val="right"/>
              <w:rPr>
                <w:color w:val="000000"/>
              </w:rPr>
            </w:pPr>
            <w:r w:rsidRPr="00E233B2">
              <w:rPr>
                <w:color w:val="000000"/>
              </w:rPr>
              <w:t>45.9011</w:t>
            </w:r>
          </w:p>
        </w:tc>
      </w:tr>
      <w:tr w:rsidR="00277818" w:rsidRPr="00E233B2" w:rsidTr="00826FE5">
        <w:trPr>
          <w:trHeight w:val="315"/>
        </w:trPr>
        <w:tc>
          <w:tcPr>
            <w:tcW w:w="3916"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277818" w:rsidRPr="00E233B2" w:rsidRDefault="00277818" w:rsidP="00BA022E">
            <w:pPr>
              <w:jc w:val="right"/>
              <w:rPr>
                <w:color w:val="000000"/>
              </w:rPr>
            </w:pPr>
            <w:r w:rsidRPr="00E233B2">
              <w:rPr>
                <w:color w:val="000000"/>
              </w:rPr>
              <w:t>362.16</w:t>
            </w:r>
          </w:p>
        </w:tc>
        <w:tc>
          <w:tcPr>
            <w:tcW w:w="1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277818" w:rsidRPr="00E233B2" w:rsidRDefault="00277818" w:rsidP="00BA022E">
            <w:pPr>
              <w:jc w:val="right"/>
              <w:rPr>
                <w:color w:val="000000"/>
              </w:rPr>
            </w:pPr>
            <w:r w:rsidRPr="00E233B2">
              <w:rPr>
                <w:color w:val="000000"/>
              </w:rPr>
              <w:t>0.407</w:t>
            </w:r>
          </w:p>
        </w:tc>
        <w:tc>
          <w:tcPr>
            <w:tcW w:w="275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277818" w:rsidRPr="00E233B2" w:rsidRDefault="00277818" w:rsidP="00BA022E">
            <w:pPr>
              <w:jc w:val="right"/>
              <w:rPr>
                <w:color w:val="000000"/>
              </w:rPr>
            </w:pPr>
            <w:r w:rsidRPr="00E233B2">
              <w:rPr>
                <w:color w:val="000000"/>
              </w:rPr>
              <w:t>54.3307</w:t>
            </w:r>
          </w:p>
        </w:tc>
      </w:tr>
      <w:tr w:rsidR="00277818" w:rsidRPr="00E233B2" w:rsidTr="00826FE5">
        <w:trPr>
          <w:trHeight w:val="315"/>
        </w:trPr>
        <w:tc>
          <w:tcPr>
            <w:tcW w:w="3916"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277818" w:rsidRPr="00E233B2" w:rsidRDefault="00277818" w:rsidP="00BA022E">
            <w:pPr>
              <w:jc w:val="right"/>
              <w:rPr>
                <w:color w:val="000000"/>
              </w:rPr>
            </w:pPr>
            <w:r w:rsidRPr="00E233B2">
              <w:rPr>
                <w:color w:val="000000"/>
              </w:rPr>
              <w:t>334.02</w:t>
            </w:r>
          </w:p>
        </w:tc>
        <w:tc>
          <w:tcPr>
            <w:tcW w:w="1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277818" w:rsidRPr="00E233B2" w:rsidRDefault="00277818" w:rsidP="00BA022E">
            <w:pPr>
              <w:jc w:val="right"/>
              <w:rPr>
                <w:color w:val="000000"/>
              </w:rPr>
            </w:pPr>
            <w:r w:rsidRPr="00E233B2">
              <w:rPr>
                <w:color w:val="000000"/>
              </w:rPr>
              <w:t>0.814</w:t>
            </w:r>
          </w:p>
        </w:tc>
        <w:tc>
          <w:tcPr>
            <w:tcW w:w="275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277818" w:rsidRPr="00E233B2" w:rsidRDefault="00277818" w:rsidP="00BA022E">
            <w:pPr>
              <w:jc w:val="right"/>
              <w:rPr>
                <w:color w:val="000000"/>
              </w:rPr>
            </w:pPr>
            <w:r w:rsidRPr="00E233B2">
              <w:rPr>
                <w:color w:val="000000"/>
              </w:rPr>
              <w:t>100.2183</w:t>
            </w:r>
          </w:p>
        </w:tc>
      </w:tr>
      <w:tr w:rsidR="00277818" w:rsidRPr="00E233B2" w:rsidTr="00826FE5">
        <w:trPr>
          <w:trHeight w:val="315"/>
        </w:trPr>
        <w:tc>
          <w:tcPr>
            <w:tcW w:w="3916"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277818" w:rsidRPr="00E233B2" w:rsidRDefault="00277818" w:rsidP="00BA022E">
            <w:pPr>
              <w:rPr>
                <w:color w:val="000000"/>
              </w:rPr>
            </w:pPr>
            <w:r w:rsidRPr="00E233B2">
              <w:rPr>
                <w:color w:val="000000"/>
              </w:rPr>
              <w:t> </w:t>
            </w:r>
          </w:p>
        </w:tc>
        <w:tc>
          <w:tcPr>
            <w:tcW w:w="1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277818" w:rsidRPr="00E233B2" w:rsidRDefault="00277818" w:rsidP="00BA022E">
            <w:pPr>
              <w:rPr>
                <w:color w:val="000000"/>
              </w:rPr>
            </w:pPr>
            <w:r w:rsidRPr="00E233B2">
              <w:rPr>
                <w:color w:val="000000"/>
              </w:rPr>
              <w:t> </w:t>
            </w:r>
          </w:p>
        </w:tc>
        <w:tc>
          <w:tcPr>
            <w:tcW w:w="275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277818" w:rsidRPr="00E233B2" w:rsidRDefault="00277818" w:rsidP="00BA022E">
            <w:pPr>
              <w:rPr>
                <w:color w:val="000000"/>
              </w:rPr>
            </w:pPr>
            <w:r w:rsidRPr="00E233B2">
              <w:rPr>
                <w:color w:val="000000"/>
              </w:rPr>
              <w:t> </w:t>
            </w:r>
          </w:p>
        </w:tc>
      </w:tr>
      <w:tr w:rsidR="00277818" w:rsidRPr="00E233B2" w:rsidTr="00826FE5">
        <w:trPr>
          <w:trHeight w:val="315"/>
        </w:trPr>
        <w:tc>
          <w:tcPr>
            <w:tcW w:w="3916"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277818" w:rsidRPr="00E233B2" w:rsidRDefault="00277818" w:rsidP="00BA022E">
            <w:pPr>
              <w:rPr>
                <w:color w:val="000000"/>
              </w:rPr>
            </w:pPr>
            <w:r w:rsidRPr="00E233B2">
              <w:rPr>
                <w:color w:val="000000"/>
              </w:rPr>
              <w:t> </w:t>
            </w:r>
          </w:p>
        </w:tc>
        <w:tc>
          <w:tcPr>
            <w:tcW w:w="1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277818" w:rsidRPr="00E233B2" w:rsidRDefault="00277818" w:rsidP="00BA022E">
            <w:pPr>
              <w:rPr>
                <w:color w:val="000000"/>
              </w:rPr>
            </w:pPr>
            <w:r w:rsidRPr="00E233B2">
              <w:rPr>
                <w:color w:val="000000"/>
              </w:rPr>
              <w:t> </w:t>
            </w:r>
          </w:p>
        </w:tc>
        <w:tc>
          <w:tcPr>
            <w:tcW w:w="275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277818" w:rsidRPr="00E233B2" w:rsidRDefault="00277818" w:rsidP="00BA022E">
            <w:pPr>
              <w:rPr>
                <w:color w:val="000000"/>
              </w:rPr>
            </w:pPr>
            <w:r w:rsidRPr="00E233B2">
              <w:rPr>
                <w:color w:val="000000"/>
              </w:rPr>
              <w:t> </w:t>
            </w:r>
          </w:p>
        </w:tc>
      </w:tr>
      <w:tr w:rsidR="00277818" w:rsidRPr="00E233B2" w:rsidTr="00826FE5">
        <w:trPr>
          <w:trHeight w:val="315"/>
        </w:trPr>
        <w:tc>
          <w:tcPr>
            <w:tcW w:w="3916" w:type="dxa"/>
            <w:tcBorders>
              <w:top w:val="single" w:sz="6" w:space="0" w:color="auto"/>
              <w:left w:val="single" w:sz="4" w:space="0" w:color="auto"/>
              <w:bottom w:val="single" w:sz="4" w:space="0" w:color="auto"/>
              <w:right w:val="single" w:sz="6" w:space="0" w:color="auto"/>
            </w:tcBorders>
            <w:shd w:val="clear" w:color="auto" w:fill="auto"/>
            <w:noWrap/>
            <w:vAlign w:val="bottom"/>
            <w:hideMark/>
          </w:tcPr>
          <w:p w:rsidR="00277818" w:rsidRPr="00E233B2" w:rsidRDefault="00277818" w:rsidP="00BA022E">
            <w:pPr>
              <w:rPr>
                <w:color w:val="000000"/>
              </w:rPr>
            </w:pPr>
            <w:r w:rsidRPr="00E233B2">
              <w:rPr>
                <w:color w:val="000000"/>
              </w:rPr>
              <w:t> </w:t>
            </w:r>
          </w:p>
        </w:tc>
        <w:tc>
          <w:tcPr>
            <w:tcW w:w="1956"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rsidR="00277818" w:rsidRPr="00E233B2" w:rsidRDefault="00277818" w:rsidP="00BA022E">
            <w:pPr>
              <w:rPr>
                <w:color w:val="000000"/>
              </w:rPr>
            </w:pPr>
            <w:r w:rsidRPr="00E233B2">
              <w:rPr>
                <w:color w:val="000000"/>
              </w:rPr>
              <w:t> </w:t>
            </w:r>
          </w:p>
        </w:tc>
        <w:tc>
          <w:tcPr>
            <w:tcW w:w="2756" w:type="dxa"/>
            <w:tcBorders>
              <w:top w:val="single" w:sz="6" w:space="0" w:color="auto"/>
              <w:left w:val="single" w:sz="6" w:space="0" w:color="auto"/>
              <w:bottom w:val="single" w:sz="4" w:space="0" w:color="auto"/>
              <w:right w:val="single" w:sz="4" w:space="0" w:color="auto"/>
            </w:tcBorders>
            <w:shd w:val="clear" w:color="auto" w:fill="auto"/>
            <w:noWrap/>
            <w:vAlign w:val="bottom"/>
            <w:hideMark/>
          </w:tcPr>
          <w:p w:rsidR="00277818" w:rsidRPr="00E233B2" w:rsidRDefault="00277818" w:rsidP="00BA022E">
            <w:pPr>
              <w:rPr>
                <w:color w:val="000000"/>
              </w:rPr>
            </w:pPr>
            <w:r w:rsidRPr="00E233B2">
              <w:rPr>
                <w:color w:val="000000"/>
              </w:rPr>
              <w:t> </w:t>
            </w:r>
          </w:p>
        </w:tc>
      </w:tr>
      <w:tr w:rsidR="00277818" w:rsidRPr="00E233B2" w:rsidTr="00826FE5">
        <w:trPr>
          <w:trHeight w:val="315"/>
        </w:trPr>
        <w:tc>
          <w:tcPr>
            <w:tcW w:w="3916" w:type="dxa"/>
            <w:tcBorders>
              <w:top w:val="nil"/>
              <w:left w:val="nil"/>
              <w:bottom w:val="nil"/>
              <w:right w:val="nil"/>
            </w:tcBorders>
            <w:shd w:val="clear" w:color="auto" w:fill="auto"/>
            <w:noWrap/>
            <w:vAlign w:val="bottom"/>
            <w:hideMark/>
          </w:tcPr>
          <w:p w:rsidR="00277818" w:rsidRPr="00E233B2" w:rsidRDefault="00277818" w:rsidP="00BA022E">
            <w:pPr>
              <w:rPr>
                <w:color w:val="000000"/>
              </w:rPr>
            </w:pPr>
          </w:p>
        </w:tc>
        <w:tc>
          <w:tcPr>
            <w:tcW w:w="1956" w:type="dxa"/>
            <w:tcBorders>
              <w:top w:val="nil"/>
              <w:left w:val="nil"/>
              <w:bottom w:val="nil"/>
              <w:right w:val="nil"/>
            </w:tcBorders>
            <w:shd w:val="clear" w:color="auto" w:fill="auto"/>
            <w:noWrap/>
            <w:vAlign w:val="bottom"/>
            <w:hideMark/>
          </w:tcPr>
          <w:p w:rsidR="00277818" w:rsidRPr="00E233B2" w:rsidRDefault="00277818" w:rsidP="00BA022E">
            <w:pPr>
              <w:rPr>
                <w:color w:val="000000"/>
              </w:rPr>
            </w:pPr>
          </w:p>
        </w:tc>
        <w:tc>
          <w:tcPr>
            <w:tcW w:w="2756" w:type="dxa"/>
            <w:tcBorders>
              <w:top w:val="nil"/>
              <w:left w:val="nil"/>
              <w:bottom w:val="nil"/>
              <w:right w:val="nil"/>
            </w:tcBorders>
            <w:shd w:val="clear" w:color="auto" w:fill="auto"/>
            <w:noWrap/>
            <w:vAlign w:val="bottom"/>
            <w:hideMark/>
          </w:tcPr>
          <w:p w:rsidR="00277818" w:rsidRPr="00E233B2" w:rsidRDefault="00277818" w:rsidP="00BA022E">
            <w:pPr>
              <w:rPr>
                <w:color w:val="000000"/>
              </w:rPr>
            </w:pPr>
          </w:p>
        </w:tc>
      </w:tr>
      <w:tr w:rsidR="00277818" w:rsidRPr="00E233B2" w:rsidTr="00826FE5">
        <w:trPr>
          <w:trHeight w:val="315"/>
        </w:trPr>
        <w:tc>
          <w:tcPr>
            <w:tcW w:w="3916" w:type="dxa"/>
            <w:tcBorders>
              <w:top w:val="nil"/>
              <w:left w:val="nil"/>
              <w:bottom w:val="nil"/>
              <w:right w:val="nil"/>
            </w:tcBorders>
            <w:shd w:val="clear" w:color="auto" w:fill="auto"/>
            <w:noWrap/>
            <w:vAlign w:val="bottom"/>
            <w:hideMark/>
          </w:tcPr>
          <w:p w:rsidR="00277818" w:rsidRPr="00E233B2" w:rsidRDefault="00277818" w:rsidP="00BA022E">
            <w:pPr>
              <w:rPr>
                <w:color w:val="000000"/>
              </w:rPr>
            </w:pPr>
          </w:p>
        </w:tc>
        <w:tc>
          <w:tcPr>
            <w:tcW w:w="1956" w:type="dxa"/>
            <w:tcBorders>
              <w:top w:val="nil"/>
              <w:left w:val="nil"/>
              <w:bottom w:val="nil"/>
              <w:right w:val="nil"/>
            </w:tcBorders>
            <w:shd w:val="clear" w:color="auto" w:fill="auto"/>
            <w:noWrap/>
            <w:vAlign w:val="bottom"/>
            <w:hideMark/>
          </w:tcPr>
          <w:p w:rsidR="00277818" w:rsidRPr="00E233B2" w:rsidRDefault="00277818" w:rsidP="00BA022E">
            <w:pPr>
              <w:rPr>
                <w:color w:val="000000"/>
              </w:rPr>
            </w:pPr>
          </w:p>
        </w:tc>
        <w:tc>
          <w:tcPr>
            <w:tcW w:w="2756" w:type="dxa"/>
            <w:tcBorders>
              <w:top w:val="nil"/>
              <w:left w:val="nil"/>
              <w:bottom w:val="nil"/>
              <w:right w:val="nil"/>
            </w:tcBorders>
            <w:shd w:val="clear" w:color="auto" w:fill="auto"/>
            <w:noWrap/>
            <w:vAlign w:val="bottom"/>
            <w:hideMark/>
          </w:tcPr>
          <w:p w:rsidR="00277818" w:rsidRPr="00E233B2" w:rsidRDefault="00277818" w:rsidP="00BA022E">
            <w:pPr>
              <w:rPr>
                <w:color w:val="000000"/>
              </w:rPr>
            </w:pPr>
          </w:p>
        </w:tc>
      </w:tr>
      <w:tr w:rsidR="00277818" w:rsidRPr="00E233B2" w:rsidTr="00826FE5">
        <w:trPr>
          <w:trHeight w:val="315"/>
        </w:trPr>
        <w:tc>
          <w:tcPr>
            <w:tcW w:w="3916" w:type="dxa"/>
            <w:tcBorders>
              <w:top w:val="nil"/>
              <w:left w:val="nil"/>
              <w:bottom w:val="nil"/>
              <w:right w:val="nil"/>
            </w:tcBorders>
            <w:shd w:val="clear" w:color="auto" w:fill="auto"/>
            <w:noWrap/>
            <w:vAlign w:val="bottom"/>
            <w:hideMark/>
          </w:tcPr>
          <w:p w:rsidR="00277818" w:rsidRPr="00E233B2" w:rsidRDefault="00277818" w:rsidP="00BA022E">
            <w:pPr>
              <w:rPr>
                <w:color w:val="000000"/>
              </w:rPr>
            </w:pPr>
            <w:r w:rsidRPr="00E233B2">
              <w:rPr>
                <w:color w:val="000000"/>
              </w:rPr>
              <w:t>Total quats claimed:</w:t>
            </w:r>
          </w:p>
        </w:tc>
        <w:tc>
          <w:tcPr>
            <w:tcW w:w="1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818" w:rsidRPr="00E233B2" w:rsidRDefault="00277818" w:rsidP="00BA022E">
            <w:pPr>
              <w:jc w:val="right"/>
              <w:rPr>
                <w:color w:val="000000"/>
              </w:rPr>
            </w:pPr>
            <w:r w:rsidRPr="00E233B2">
              <w:rPr>
                <w:color w:val="000000"/>
              </w:rPr>
              <w:t>2.713</w:t>
            </w:r>
          </w:p>
        </w:tc>
        <w:tc>
          <w:tcPr>
            <w:tcW w:w="2756" w:type="dxa"/>
            <w:tcBorders>
              <w:top w:val="nil"/>
              <w:left w:val="nil"/>
              <w:bottom w:val="nil"/>
              <w:right w:val="nil"/>
            </w:tcBorders>
            <w:shd w:val="clear" w:color="auto" w:fill="auto"/>
            <w:noWrap/>
            <w:vAlign w:val="bottom"/>
            <w:hideMark/>
          </w:tcPr>
          <w:p w:rsidR="00277818" w:rsidRPr="00E233B2" w:rsidRDefault="00277818" w:rsidP="00BA022E">
            <w:pPr>
              <w:rPr>
                <w:color w:val="000000"/>
              </w:rPr>
            </w:pPr>
          </w:p>
        </w:tc>
      </w:tr>
      <w:tr w:rsidR="00277818" w:rsidRPr="00E233B2" w:rsidTr="00826FE5">
        <w:trPr>
          <w:trHeight w:val="315"/>
        </w:trPr>
        <w:tc>
          <w:tcPr>
            <w:tcW w:w="3916" w:type="dxa"/>
            <w:tcBorders>
              <w:top w:val="nil"/>
              <w:left w:val="nil"/>
              <w:bottom w:val="nil"/>
              <w:right w:val="nil"/>
            </w:tcBorders>
            <w:shd w:val="clear" w:color="auto" w:fill="auto"/>
            <w:noWrap/>
            <w:vAlign w:val="bottom"/>
            <w:hideMark/>
          </w:tcPr>
          <w:p w:rsidR="00277818" w:rsidRPr="00E233B2" w:rsidRDefault="00277818" w:rsidP="00BA022E">
            <w:pPr>
              <w:rPr>
                <w:color w:val="000000"/>
              </w:rPr>
            </w:pPr>
          </w:p>
        </w:tc>
        <w:tc>
          <w:tcPr>
            <w:tcW w:w="1956" w:type="dxa"/>
            <w:tcBorders>
              <w:top w:val="nil"/>
              <w:left w:val="nil"/>
              <w:bottom w:val="nil"/>
              <w:right w:val="nil"/>
            </w:tcBorders>
            <w:shd w:val="clear" w:color="auto" w:fill="auto"/>
            <w:noWrap/>
            <w:vAlign w:val="bottom"/>
            <w:hideMark/>
          </w:tcPr>
          <w:p w:rsidR="00277818" w:rsidRPr="00E233B2" w:rsidRDefault="00277818" w:rsidP="00BA022E">
            <w:pPr>
              <w:rPr>
                <w:color w:val="000000"/>
              </w:rPr>
            </w:pPr>
          </w:p>
        </w:tc>
        <w:tc>
          <w:tcPr>
            <w:tcW w:w="2756" w:type="dxa"/>
            <w:tcBorders>
              <w:top w:val="nil"/>
              <w:left w:val="nil"/>
              <w:bottom w:val="nil"/>
              <w:right w:val="nil"/>
            </w:tcBorders>
            <w:shd w:val="clear" w:color="auto" w:fill="auto"/>
            <w:noWrap/>
            <w:vAlign w:val="bottom"/>
            <w:hideMark/>
          </w:tcPr>
          <w:p w:rsidR="00277818" w:rsidRPr="00E233B2" w:rsidRDefault="00277818" w:rsidP="00BA022E">
            <w:pPr>
              <w:rPr>
                <w:color w:val="000000"/>
              </w:rPr>
            </w:pPr>
          </w:p>
        </w:tc>
      </w:tr>
      <w:tr w:rsidR="00277818" w:rsidRPr="00E233B2" w:rsidTr="00826FE5">
        <w:trPr>
          <w:trHeight w:val="315"/>
        </w:trPr>
        <w:tc>
          <w:tcPr>
            <w:tcW w:w="3916" w:type="dxa"/>
            <w:tcBorders>
              <w:top w:val="nil"/>
              <w:left w:val="nil"/>
              <w:bottom w:val="nil"/>
              <w:right w:val="nil"/>
            </w:tcBorders>
            <w:shd w:val="clear" w:color="auto" w:fill="auto"/>
            <w:noWrap/>
            <w:vAlign w:val="bottom"/>
            <w:hideMark/>
          </w:tcPr>
          <w:p w:rsidR="00277818" w:rsidRPr="00E233B2" w:rsidRDefault="00277818" w:rsidP="00BA022E">
            <w:pPr>
              <w:rPr>
                <w:color w:val="000000"/>
              </w:rPr>
            </w:pPr>
            <w:r w:rsidRPr="00E233B2">
              <w:rPr>
                <w:color w:val="000000"/>
              </w:rPr>
              <w:t>Average molecular weight:</w:t>
            </w:r>
          </w:p>
        </w:tc>
        <w:tc>
          <w:tcPr>
            <w:tcW w:w="1956" w:type="dxa"/>
            <w:tcBorders>
              <w:top w:val="nil"/>
              <w:left w:val="nil"/>
              <w:bottom w:val="nil"/>
              <w:right w:val="nil"/>
            </w:tcBorders>
            <w:shd w:val="clear" w:color="auto" w:fill="auto"/>
            <w:noWrap/>
            <w:vAlign w:val="bottom"/>
            <w:hideMark/>
          </w:tcPr>
          <w:p w:rsidR="00277818" w:rsidRPr="00E233B2" w:rsidRDefault="00277818" w:rsidP="00BA022E">
            <w:pPr>
              <w:rPr>
                <w:color w:val="000000"/>
              </w:rPr>
            </w:pPr>
          </w:p>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818" w:rsidRPr="00E233B2" w:rsidRDefault="00277818" w:rsidP="00BA022E">
            <w:pPr>
              <w:jc w:val="right"/>
              <w:rPr>
                <w:color w:val="000000"/>
                <w:sz w:val="20"/>
                <w:szCs w:val="20"/>
              </w:rPr>
            </w:pPr>
            <w:r w:rsidRPr="00E233B2">
              <w:rPr>
                <w:color w:val="000000"/>
                <w:sz w:val="20"/>
                <w:szCs w:val="20"/>
              </w:rPr>
              <w:t>344.2636</w:t>
            </w:r>
          </w:p>
        </w:tc>
      </w:tr>
      <w:tr w:rsidR="00277818" w:rsidRPr="00BA022E" w:rsidTr="00826FE5">
        <w:trPr>
          <w:trHeight w:val="315"/>
        </w:trPr>
        <w:tc>
          <w:tcPr>
            <w:tcW w:w="3916" w:type="dxa"/>
            <w:tcBorders>
              <w:top w:val="nil"/>
              <w:left w:val="nil"/>
              <w:bottom w:val="nil"/>
              <w:right w:val="nil"/>
            </w:tcBorders>
            <w:shd w:val="clear" w:color="auto" w:fill="auto"/>
            <w:noWrap/>
            <w:vAlign w:val="bottom"/>
            <w:hideMark/>
          </w:tcPr>
          <w:p w:rsidR="00277818" w:rsidRPr="00BA022E" w:rsidRDefault="00277818" w:rsidP="00BA022E">
            <w:pPr>
              <w:rPr>
                <w:rFonts w:ascii="Calibri" w:hAnsi="Calibri"/>
                <w:color w:val="000000"/>
              </w:rPr>
            </w:pPr>
          </w:p>
        </w:tc>
        <w:tc>
          <w:tcPr>
            <w:tcW w:w="1956" w:type="dxa"/>
            <w:tcBorders>
              <w:top w:val="nil"/>
              <w:left w:val="nil"/>
              <w:bottom w:val="nil"/>
              <w:right w:val="nil"/>
            </w:tcBorders>
            <w:shd w:val="clear" w:color="auto" w:fill="auto"/>
            <w:noWrap/>
            <w:vAlign w:val="bottom"/>
            <w:hideMark/>
          </w:tcPr>
          <w:p w:rsidR="00277818" w:rsidRPr="00BA022E" w:rsidRDefault="00277818" w:rsidP="00BA022E">
            <w:pPr>
              <w:rPr>
                <w:rFonts w:ascii="Calibri" w:hAnsi="Calibri"/>
                <w:color w:val="000000"/>
              </w:rPr>
            </w:pPr>
          </w:p>
        </w:tc>
        <w:tc>
          <w:tcPr>
            <w:tcW w:w="2756" w:type="dxa"/>
            <w:tcBorders>
              <w:top w:val="nil"/>
              <w:left w:val="nil"/>
              <w:bottom w:val="nil"/>
              <w:right w:val="nil"/>
            </w:tcBorders>
            <w:shd w:val="clear" w:color="auto" w:fill="auto"/>
            <w:noWrap/>
            <w:vAlign w:val="bottom"/>
            <w:hideMark/>
          </w:tcPr>
          <w:p w:rsidR="00277818" w:rsidRPr="00BA022E" w:rsidRDefault="00277818" w:rsidP="00BA022E">
            <w:pPr>
              <w:rPr>
                <w:rFonts w:ascii="Calibri" w:hAnsi="Calibri"/>
                <w:color w:val="000000"/>
              </w:rPr>
            </w:pPr>
          </w:p>
        </w:tc>
      </w:tr>
      <w:tr w:rsidR="00277818" w:rsidRPr="00BA022E" w:rsidTr="00826FE5">
        <w:trPr>
          <w:trHeight w:val="315"/>
        </w:trPr>
        <w:tc>
          <w:tcPr>
            <w:tcW w:w="3916" w:type="dxa"/>
            <w:tcBorders>
              <w:top w:val="nil"/>
              <w:left w:val="nil"/>
              <w:bottom w:val="nil"/>
              <w:right w:val="nil"/>
            </w:tcBorders>
            <w:shd w:val="clear" w:color="auto" w:fill="auto"/>
            <w:noWrap/>
            <w:vAlign w:val="bottom"/>
            <w:hideMark/>
          </w:tcPr>
          <w:p w:rsidR="00277818" w:rsidRPr="00BA022E" w:rsidRDefault="00277818" w:rsidP="00BA022E">
            <w:pPr>
              <w:rPr>
                <w:rFonts w:ascii="Calibri" w:hAnsi="Calibri"/>
                <w:color w:val="000000"/>
              </w:rPr>
            </w:pPr>
            <w:r>
              <w:rPr>
                <w:rFonts w:ascii="Calibri" w:hAnsi="Calibri"/>
                <w:noProof/>
                <w:color w:val="000000"/>
                <w:lang w:val="de-CH" w:eastAsia="de-CH"/>
              </w:rPr>
              <mc:AlternateContent>
                <mc:Choice Requires="wps">
                  <w:drawing>
                    <wp:anchor distT="0" distB="0" distL="114300" distR="114300" simplePos="0" relativeHeight="251664384" behindDoc="0" locked="0" layoutInCell="1" allowOverlap="1">
                      <wp:simplePos x="0" y="0"/>
                      <wp:positionH relativeFrom="column">
                        <wp:posOffset>447675</wp:posOffset>
                      </wp:positionH>
                      <wp:positionV relativeFrom="paragraph">
                        <wp:posOffset>9525</wp:posOffset>
                      </wp:positionV>
                      <wp:extent cx="4895850" cy="828675"/>
                      <wp:effectExtent l="0" t="0" r="19050" b="28575"/>
                      <wp:wrapNone/>
                      <wp:docPr id="6" name="TextBox 2"/>
                      <wp:cNvGraphicFramePr/>
                      <a:graphic xmlns:a="http://schemas.openxmlformats.org/drawingml/2006/main">
                        <a:graphicData uri="http://schemas.microsoft.com/office/word/2010/wordprocessingShape">
                          <wps:wsp>
                            <wps:cNvSpPr txBox="1"/>
                            <wps:spPr>
                              <a:xfrm>
                                <a:off x="0" y="0"/>
                                <a:ext cx="4895850" cy="8286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E2DA8" w:rsidRDefault="00DE2DA8" w:rsidP="00DE2DA8">
                                  <w:pPr>
                                    <w:pStyle w:val="StandardWeb"/>
                                    <w:spacing w:before="0" w:beforeAutospacing="0" w:after="0" w:afterAutospacing="0"/>
                                  </w:pPr>
                                  <w:r>
                                    <w:rPr>
                                      <w:rFonts w:asciiTheme="minorHAnsi" w:hAnsi="Calibri" w:cstheme="minorBidi"/>
                                      <w:color w:val="000000" w:themeColor="dark1"/>
                                      <w:sz w:val="22"/>
                                      <w:szCs w:val="22"/>
                                    </w:rPr>
                                    <w:t>adjusted MW =  (claim level%/total quats claimed) x MW of individual compound</w:t>
                                  </w:r>
                                </w:p>
                                <w:p w:rsidR="00DE2DA8" w:rsidRDefault="00DE2DA8" w:rsidP="00DE2DA8">
                                  <w:pPr>
                                    <w:pStyle w:val="StandardWeb"/>
                                    <w:spacing w:before="0" w:beforeAutospacing="0" w:after="0" w:afterAutospacing="0"/>
                                  </w:pPr>
                                  <w:r>
                                    <w:rPr>
                                      <w:rFonts w:asciiTheme="minorHAnsi" w:hAnsi="Calibri" w:cstheme="minorBidi"/>
                                      <w:color w:val="000000" w:themeColor="dark1"/>
                                      <w:sz w:val="22"/>
                                      <w:szCs w:val="22"/>
                                    </w:rPr>
                                    <w:t>Average molecular weight = sum of all adjusted molecular weights</w:t>
                                  </w:r>
                                </w:p>
                              </w:txbxContent>
                            </wps:txbx>
                            <wps:bodyPr wrap="square" rtlCol="0" anchor="t"/>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5.25pt;margin-top:.75pt;width:385.5pt;height:6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" fillcolor="white [3201]" strokecolor="#7f7f7f [1601]">
                      <v:textbox>
                        <w:txbxContent>
                          <w:p w:rsidR="00DE2DA8" w:rsidRDefault="00DE2DA8" w:rsidP="00DE2DA8">
                            <w:pPr>
                              <w:pStyle w:val="StandardWeb"/>
                              <w:spacing w:before="0" w:beforeAutospacing="0" w:after="0" w:afterAutospacing="0"/>
                            </w:pPr>
                            <w:r>
                              <w:rPr>
                                <w:rFonts w:asciiTheme="minorHAnsi" w:hAnsi="Calibri" w:cstheme="minorBidi"/>
                                <w:color w:val="000000" w:themeColor="dark1"/>
                                <w:sz w:val="22"/>
                                <w:szCs w:val="22"/>
                              </w:rPr>
                              <w:t>adjusted MW =  (claim level%/total quats claimed) x MW of individual compound</w:t>
                            </w:r>
                          </w:p>
                          <w:p w:rsidR="00DE2DA8" w:rsidRDefault="00DE2DA8" w:rsidP="00DE2DA8">
                            <w:pPr>
                              <w:pStyle w:val="StandardWeb"/>
                              <w:spacing w:before="0" w:beforeAutospacing="0" w:after="0" w:afterAutospacing="0"/>
                            </w:pPr>
                            <w:r>
                              <w:rPr>
                                <w:rFonts w:asciiTheme="minorHAnsi" w:hAnsi="Calibri" w:cstheme="minorBidi"/>
                                <w:color w:val="000000" w:themeColor="dark1"/>
                                <w:sz w:val="22"/>
                                <w:szCs w:val="22"/>
                              </w:rPr>
                              <w:t>Average molecular weight = sum of all adjusted molecular weights</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700"/>
            </w:tblGrid>
            <w:tr w:rsidR="00277818" w:rsidRPr="00BA022E">
              <w:trPr>
                <w:trHeight w:val="315"/>
                <w:tblCellSpacing w:w="0" w:type="dxa"/>
              </w:trPr>
              <w:tc>
                <w:tcPr>
                  <w:tcW w:w="3700" w:type="dxa"/>
                  <w:tcBorders>
                    <w:top w:val="nil"/>
                    <w:left w:val="nil"/>
                    <w:bottom w:val="nil"/>
                    <w:right w:val="nil"/>
                  </w:tcBorders>
                  <w:shd w:val="clear" w:color="auto" w:fill="auto"/>
                  <w:noWrap/>
                  <w:vAlign w:val="bottom"/>
                  <w:hideMark/>
                </w:tcPr>
                <w:p w:rsidR="00277818" w:rsidRPr="00BA022E" w:rsidRDefault="00277818" w:rsidP="00BA022E">
                  <w:pPr>
                    <w:rPr>
                      <w:rFonts w:ascii="Calibri" w:hAnsi="Calibri"/>
                      <w:color w:val="000000"/>
                    </w:rPr>
                  </w:pPr>
                </w:p>
              </w:tc>
            </w:tr>
          </w:tbl>
          <w:p w:rsidR="00277818" w:rsidRPr="00BA022E" w:rsidRDefault="00277818" w:rsidP="00BA022E">
            <w:pPr>
              <w:rPr>
                <w:rFonts w:ascii="Calibri" w:hAnsi="Calibri"/>
                <w:color w:val="000000"/>
              </w:rPr>
            </w:pPr>
          </w:p>
        </w:tc>
        <w:tc>
          <w:tcPr>
            <w:tcW w:w="1956" w:type="dxa"/>
            <w:tcBorders>
              <w:top w:val="nil"/>
              <w:left w:val="nil"/>
              <w:bottom w:val="nil"/>
              <w:right w:val="nil"/>
            </w:tcBorders>
            <w:shd w:val="clear" w:color="auto" w:fill="auto"/>
            <w:noWrap/>
            <w:vAlign w:val="bottom"/>
            <w:hideMark/>
          </w:tcPr>
          <w:p w:rsidR="00277818" w:rsidRPr="00BA022E" w:rsidRDefault="00277818" w:rsidP="00BA022E">
            <w:pPr>
              <w:rPr>
                <w:rFonts w:ascii="Calibri" w:hAnsi="Calibri"/>
                <w:color w:val="000000"/>
              </w:rPr>
            </w:pPr>
          </w:p>
        </w:tc>
        <w:tc>
          <w:tcPr>
            <w:tcW w:w="2756" w:type="dxa"/>
            <w:tcBorders>
              <w:top w:val="nil"/>
              <w:left w:val="nil"/>
              <w:bottom w:val="nil"/>
              <w:right w:val="nil"/>
            </w:tcBorders>
            <w:shd w:val="clear" w:color="auto" w:fill="auto"/>
            <w:noWrap/>
            <w:vAlign w:val="bottom"/>
            <w:hideMark/>
          </w:tcPr>
          <w:p w:rsidR="00277818" w:rsidRPr="00BA022E" w:rsidRDefault="00277818" w:rsidP="00BA022E">
            <w:pPr>
              <w:rPr>
                <w:rFonts w:ascii="Calibri" w:hAnsi="Calibri"/>
                <w:color w:val="000000"/>
              </w:rPr>
            </w:pPr>
          </w:p>
        </w:tc>
      </w:tr>
      <w:tr w:rsidR="00277818" w:rsidRPr="00BA022E" w:rsidTr="00826FE5">
        <w:trPr>
          <w:trHeight w:val="315"/>
        </w:trPr>
        <w:tc>
          <w:tcPr>
            <w:tcW w:w="3916" w:type="dxa"/>
            <w:tcBorders>
              <w:top w:val="nil"/>
              <w:left w:val="nil"/>
              <w:bottom w:val="nil"/>
              <w:right w:val="nil"/>
            </w:tcBorders>
            <w:shd w:val="clear" w:color="auto" w:fill="auto"/>
            <w:noWrap/>
            <w:vAlign w:val="bottom"/>
            <w:hideMark/>
          </w:tcPr>
          <w:p w:rsidR="00277818" w:rsidRPr="00BA022E" w:rsidRDefault="00277818" w:rsidP="00BA022E">
            <w:pPr>
              <w:rPr>
                <w:rFonts w:ascii="Calibri" w:hAnsi="Calibri"/>
                <w:color w:val="000000"/>
              </w:rPr>
            </w:pPr>
          </w:p>
        </w:tc>
        <w:tc>
          <w:tcPr>
            <w:tcW w:w="1956" w:type="dxa"/>
            <w:tcBorders>
              <w:top w:val="nil"/>
              <w:left w:val="nil"/>
              <w:bottom w:val="nil"/>
              <w:right w:val="nil"/>
            </w:tcBorders>
            <w:shd w:val="clear" w:color="auto" w:fill="auto"/>
            <w:noWrap/>
            <w:vAlign w:val="bottom"/>
            <w:hideMark/>
          </w:tcPr>
          <w:p w:rsidR="00277818" w:rsidRPr="00BA022E" w:rsidRDefault="00277818" w:rsidP="00BA022E">
            <w:pPr>
              <w:rPr>
                <w:rFonts w:ascii="Calibri" w:hAnsi="Calibri"/>
                <w:color w:val="000000"/>
              </w:rPr>
            </w:pPr>
          </w:p>
        </w:tc>
        <w:tc>
          <w:tcPr>
            <w:tcW w:w="2756" w:type="dxa"/>
            <w:tcBorders>
              <w:top w:val="nil"/>
              <w:left w:val="nil"/>
              <w:bottom w:val="nil"/>
              <w:right w:val="nil"/>
            </w:tcBorders>
            <w:shd w:val="clear" w:color="auto" w:fill="auto"/>
            <w:noWrap/>
            <w:vAlign w:val="bottom"/>
            <w:hideMark/>
          </w:tcPr>
          <w:p w:rsidR="00277818" w:rsidRPr="00BA022E" w:rsidRDefault="00277818" w:rsidP="00BA022E">
            <w:pPr>
              <w:rPr>
                <w:rFonts w:ascii="Calibri" w:hAnsi="Calibri"/>
                <w:color w:val="000000"/>
              </w:rPr>
            </w:pPr>
          </w:p>
        </w:tc>
      </w:tr>
    </w:tbl>
    <w:p w:rsidR="00A81C7B" w:rsidRDefault="00A81C7B" w:rsidP="00F9043E"/>
    <w:p w:rsidR="00A81C7B" w:rsidRDefault="00A81C7B" w:rsidP="00F9043E"/>
    <w:p w:rsidR="00A81C7B" w:rsidRDefault="00A81C7B" w:rsidP="00F9043E"/>
    <w:p w:rsidR="00A81C7B" w:rsidRDefault="004D129C" w:rsidP="00F9043E">
      <w:r w:rsidRPr="00CD2B11">
        <w:rPr>
          <w:b/>
        </w:rPr>
        <w:t>Table 2:</w:t>
      </w:r>
      <w:r w:rsidR="00AF3CCE">
        <w:rPr>
          <w:b/>
        </w:rPr>
        <w:t xml:space="preserve">  </w:t>
      </w:r>
      <w:r w:rsidR="00AF3CCE">
        <w:t>Example Table for Calculating Sample Size for 0.005 N SLS (12 mL end point)</w:t>
      </w:r>
    </w:p>
    <w:p w:rsidR="004D129C" w:rsidRDefault="004D129C" w:rsidP="00F9043E"/>
    <w:p w:rsidR="00A81C7B" w:rsidRDefault="00A81C7B" w:rsidP="00F9043E"/>
    <w:tbl>
      <w:tblPr>
        <w:tblW w:w="87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280"/>
        <w:gridCol w:w="1774"/>
        <w:gridCol w:w="2360"/>
      </w:tblGrid>
      <w:tr w:rsidR="00D93723" w:rsidRPr="00D93723" w:rsidTr="00D93723">
        <w:trPr>
          <w:trHeight w:val="330"/>
        </w:trPr>
        <w:tc>
          <w:tcPr>
            <w:tcW w:w="2294" w:type="dxa"/>
            <w:shd w:val="clear" w:color="auto" w:fill="auto"/>
            <w:noWrap/>
            <w:vAlign w:val="bottom"/>
            <w:hideMark/>
          </w:tcPr>
          <w:p w:rsidR="00D93723" w:rsidRPr="00E233B2" w:rsidRDefault="00D93723">
            <w:pPr>
              <w:rPr>
                <w:color w:val="000000"/>
              </w:rPr>
            </w:pPr>
            <w:r w:rsidRPr="00E233B2">
              <w:rPr>
                <w:color w:val="000000"/>
              </w:rPr>
              <w:t>Average Molecular weight</w:t>
            </w:r>
          </w:p>
        </w:tc>
        <w:tc>
          <w:tcPr>
            <w:tcW w:w="2280" w:type="dxa"/>
            <w:shd w:val="clear" w:color="auto" w:fill="auto"/>
            <w:noWrap/>
            <w:vAlign w:val="bottom"/>
            <w:hideMark/>
          </w:tcPr>
          <w:p w:rsidR="00D93723" w:rsidRPr="00E233B2" w:rsidRDefault="00D93723">
            <w:pPr>
              <w:rPr>
                <w:color w:val="000000"/>
              </w:rPr>
            </w:pPr>
            <w:r w:rsidRPr="00E233B2">
              <w:rPr>
                <w:color w:val="000000"/>
              </w:rPr>
              <w:t>% total Quaternary claim</w:t>
            </w:r>
          </w:p>
        </w:tc>
        <w:tc>
          <w:tcPr>
            <w:tcW w:w="1774" w:type="dxa"/>
            <w:shd w:val="clear" w:color="auto" w:fill="auto"/>
            <w:noWrap/>
            <w:vAlign w:val="bottom"/>
            <w:hideMark/>
          </w:tcPr>
          <w:p w:rsidR="00D93723" w:rsidRPr="00E233B2" w:rsidRDefault="00D93723">
            <w:pPr>
              <w:rPr>
                <w:color w:val="000000"/>
              </w:rPr>
            </w:pPr>
            <w:proofErr w:type="spellStart"/>
            <w:r w:rsidRPr="00E233B2">
              <w:rPr>
                <w:color w:val="000000"/>
              </w:rPr>
              <w:t>meq</w:t>
            </w:r>
            <w:proofErr w:type="spellEnd"/>
            <w:r w:rsidRPr="00E233B2">
              <w:rPr>
                <w:color w:val="000000"/>
              </w:rPr>
              <w:t xml:space="preserve"> factor</w:t>
            </w:r>
          </w:p>
        </w:tc>
        <w:tc>
          <w:tcPr>
            <w:tcW w:w="2360" w:type="dxa"/>
            <w:shd w:val="clear" w:color="auto" w:fill="auto"/>
            <w:noWrap/>
            <w:vAlign w:val="bottom"/>
            <w:hideMark/>
          </w:tcPr>
          <w:p w:rsidR="00D93723" w:rsidRPr="00E233B2" w:rsidRDefault="00D93723">
            <w:pPr>
              <w:rPr>
                <w:color w:val="000000"/>
              </w:rPr>
            </w:pPr>
            <w:r w:rsidRPr="00E233B2">
              <w:rPr>
                <w:color w:val="000000"/>
              </w:rPr>
              <w:t>sample size (g)</w:t>
            </w:r>
          </w:p>
        </w:tc>
      </w:tr>
      <w:tr w:rsidR="00D93723" w:rsidRPr="00E233B2" w:rsidTr="00D93723">
        <w:trPr>
          <w:trHeight w:val="330"/>
        </w:trPr>
        <w:tc>
          <w:tcPr>
            <w:tcW w:w="2294" w:type="dxa"/>
            <w:shd w:val="clear" w:color="auto" w:fill="auto"/>
            <w:noWrap/>
            <w:vAlign w:val="bottom"/>
            <w:hideMark/>
          </w:tcPr>
          <w:p w:rsidR="00D93723" w:rsidRPr="00E233B2" w:rsidRDefault="00D93723">
            <w:pPr>
              <w:jc w:val="right"/>
              <w:rPr>
                <w:color w:val="000000"/>
              </w:rPr>
            </w:pPr>
            <w:r w:rsidRPr="00E233B2">
              <w:rPr>
                <w:color w:val="000000"/>
              </w:rPr>
              <w:t>405.5</w:t>
            </w:r>
          </w:p>
        </w:tc>
        <w:tc>
          <w:tcPr>
            <w:tcW w:w="2280" w:type="dxa"/>
            <w:shd w:val="clear" w:color="auto" w:fill="auto"/>
            <w:noWrap/>
            <w:vAlign w:val="bottom"/>
            <w:hideMark/>
          </w:tcPr>
          <w:p w:rsidR="00D93723" w:rsidRPr="00E233B2" w:rsidRDefault="00D93723">
            <w:pPr>
              <w:jc w:val="right"/>
              <w:rPr>
                <w:color w:val="000000"/>
              </w:rPr>
            </w:pPr>
            <w:r w:rsidRPr="00E233B2">
              <w:rPr>
                <w:color w:val="000000"/>
              </w:rPr>
              <w:t>0.184</w:t>
            </w:r>
          </w:p>
        </w:tc>
        <w:tc>
          <w:tcPr>
            <w:tcW w:w="1774" w:type="dxa"/>
            <w:shd w:val="clear" w:color="auto" w:fill="auto"/>
            <w:noWrap/>
            <w:vAlign w:val="bottom"/>
            <w:hideMark/>
          </w:tcPr>
          <w:p w:rsidR="00D93723" w:rsidRPr="00E233B2" w:rsidRDefault="00D93723">
            <w:pPr>
              <w:jc w:val="right"/>
              <w:rPr>
                <w:color w:val="000000"/>
              </w:rPr>
            </w:pPr>
            <w:r w:rsidRPr="00E233B2">
              <w:rPr>
                <w:color w:val="000000"/>
              </w:rPr>
              <w:t>0.006</w:t>
            </w:r>
          </w:p>
        </w:tc>
        <w:tc>
          <w:tcPr>
            <w:tcW w:w="2360" w:type="dxa"/>
            <w:shd w:val="clear" w:color="auto" w:fill="auto"/>
            <w:noWrap/>
            <w:vAlign w:val="bottom"/>
            <w:hideMark/>
          </w:tcPr>
          <w:p w:rsidR="00D93723" w:rsidRPr="00E233B2" w:rsidRDefault="00D93723">
            <w:pPr>
              <w:jc w:val="right"/>
              <w:rPr>
                <w:color w:val="000000"/>
              </w:rPr>
            </w:pPr>
            <w:r w:rsidRPr="00E233B2">
              <w:rPr>
                <w:color w:val="000000"/>
              </w:rPr>
              <w:t>13.223</w:t>
            </w:r>
          </w:p>
        </w:tc>
      </w:tr>
      <w:tr w:rsidR="00D93723" w:rsidRPr="00E233B2" w:rsidTr="00D93723">
        <w:trPr>
          <w:trHeight w:val="330"/>
        </w:trPr>
        <w:tc>
          <w:tcPr>
            <w:tcW w:w="2294" w:type="dxa"/>
            <w:shd w:val="clear" w:color="auto" w:fill="auto"/>
            <w:noWrap/>
            <w:vAlign w:val="bottom"/>
            <w:hideMark/>
          </w:tcPr>
          <w:p w:rsidR="00D93723" w:rsidRPr="00E233B2" w:rsidRDefault="00D93723">
            <w:pPr>
              <w:jc w:val="right"/>
              <w:rPr>
                <w:color w:val="000000"/>
              </w:rPr>
            </w:pPr>
            <w:r w:rsidRPr="00E233B2">
              <w:rPr>
                <w:color w:val="000000"/>
              </w:rPr>
              <w:t>359.6</w:t>
            </w:r>
          </w:p>
        </w:tc>
        <w:tc>
          <w:tcPr>
            <w:tcW w:w="2280" w:type="dxa"/>
            <w:shd w:val="clear" w:color="auto" w:fill="auto"/>
            <w:noWrap/>
            <w:vAlign w:val="bottom"/>
            <w:hideMark/>
          </w:tcPr>
          <w:p w:rsidR="00D93723" w:rsidRPr="00E233B2" w:rsidRDefault="00D93723">
            <w:pPr>
              <w:jc w:val="right"/>
              <w:rPr>
                <w:color w:val="000000"/>
              </w:rPr>
            </w:pPr>
            <w:r w:rsidRPr="00E233B2">
              <w:rPr>
                <w:color w:val="000000"/>
              </w:rPr>
              <w:t>12.000</w:t>
            </w:r>
          </w:p>
        </w:tc>
        <w:tc>
          <w:tcPr>
            <w:tcW w:w="1774" w:type="dxa"/>
            <w:shd w:val="clear" w:color="auto" w:fill="auto"/>
            <w:noWrap/>
            <w:vAlign w:val="bottom"/>
            <w:hideMark/>
          </w:tcPr>
          <w:p w:rsidR="00D93723" w:rsidRPr="00E233B2" w:rsidRDefault="00D93723">
            <w:pPr>
              <w:jc w:val="right"/>
              <w:rPr>
                <w:color w:val="000000"/>
              </w:rPr>
            </w:pPr>
            <w:r w:rsidRPr="00E233B2">
              <w:rPr>
                <w:color w:val="000000"/>
              </w:rPr>
              <w:t>0.006</w:t>
            </w:r>
          </w:p>
        </w:tc>
        <w:tc>
          <w:tcPr>
            <w:tcW w:w="2360" w:type="dxa"/>
            <w:shd w:val="clear" w:color="auto" w:fill="auto"/>
            <w:noWrap/>
            <w:vAlign w:val="bottom"/>
            <w:hideMark/>
          </w:tcPr>
          <w:p w:rsidR="00D93723" w:rsidRPr="00E233B2" w:rsidRDefault="00D93723">
            <w:pPr>
              <w:jc w:val="right"/>
              <w:rPr>
                <w:color w:val="000000"/>
              </w:rPr>
            </w:pPr>
            <w:r w:rsidRPr="00E233B2">
              <w:rPr>
                <w:color w:val="000000"/>
              </w:rPr>
              <w:t>0.180</w:t>
            </w:r>
          </w:p>
        </w:tc>
      </w:tr>
      <w:tr w:rsidR="00D93723" w:rsidRPr="00E233B2" w:rsidTr="00D93723">
        <w:trPr>
          <w:trHeight w:val="330"/>
        </w:trPr>
        <w:tc>
          <w:tcPr>
            <w:tcW w:w="2294" w:type="dxa"/>
            <w:shd w:val="clear" w:color="auto" w:fill="auto"/>
            <w:noWrap/>
            <w:vAlign w:val="bottom"/>
            <w:hideMark/>
          </w:tcPr>
          <w:p w:rsidR="00D93723" w:rsidRPr="00E233B2" w:rsidRDefault="00D93723">
            <w:pPr>
              <w:jc w:val="right"/>
              <w:rPr>
                <w:color w:val="000000"/>
              </w:rPr>
            </w:pPr>
            <w:r w:rsidRPr="00E233B2">
              <w:rPr>
                <w:color w:val="000000"/>
              </w:rPr>
              <w:t>448.09</w:t>
            </w:r>
          </w:p>
        </w:tc>
        <w:tc>
          <w:tcPr>
            <w:tcW w:w="2280" w:type="dxa"/>
            <w:shd w:val="clear" w:color="auto" w:fill="auto"/>
            <w:noWrap/>
            <w:vAlign w:val="bottom"/>
            <w:hideMark/>
          </w:tcPr>
          <w:p w:rsidR="00D93723" w:rsidRPr="00E233B2" w:rsidRDefault="00D93723">
            <w:pPr>
              <w:jc w:val="right"/>
              <w:rPr>
                <w:color w:val="000000"/>
              </w:rPr>
            </w:pPr>
            <w:r w:rsidRPr="00E233B2">
              <w:rPr>
                <w:color w:val="000000"/>
              </w:rPr>
              <w:t>100.000</w:t>
            </w:r>
          </w:p>
        </w:tc>
        <w:tc>
          <w:tcPr>
            <w:tcW w:w="1774" w:type="dxa"/>
            <w:shd w:val="clear" w:color="auto" w:fill="auto"/>
            <w:noWrap/>
            <w:vAlign w:val="bottom"/>
            <w:hideMark/>
          </w:tcPr>
          <w:p w:rsidR="00D93723" w:rsidRPr="00E233B2" w:rsidRDefault="00D93723">
            <w:pPr>
              <w:jc w:val="right"/>
              <w:rPr>
                <w:color w:val="000000"/>
              </w:rPr>
            </w:pPr>
            <w:r w:rsidRPr="00E233B2">
              <w:rPr>
                <w:color w:val="000000"/>
              </w:rPr>
              <w:t>0.006</w:t>
            </w:r>
          </w:p>
        </w:tc>
        <w:tc>
          <w:tcPr>
            <w:tcW w:w="2360" w:type="dxa"/>
            <w:shd w:val="clear" w:color="auto" w:fill="auto"/>
            <w:noWrap/>
            <w:vAlign w:val="bottom"/>
            <w:hideMark/>
          </w:tcPr>
          <w:p w:rsidR="00D93723" w:rsidRPr="00E233B2" w:rsidRDefault="00D93723">
            <w:pPr>
              <w:jc w:val="right"/>
              <w:rPr>
                <w:color w:val="000000"/>
              </w:rPr>
            </w:pPr>
            <w:r w:rsidRPr="00E233B2">
              <w:rPr>
                <w:color w:val="000000"/>
              </w:rPr>
              <w:t>0.027</w:t>
            </w:r>
          </w:p>
        </w:tc>
      </w:tr>
    </w:tbl>
    <w:p w:rsidR="005D6987" w:rsidRPr="00E233B2" w:rsidRDefault="005D6987" w:rsidP="005D6987">
      <w:r w:rsidRPr="00E233B2">
        <w:t xml:space="preserve">Sample size (g) </w:t>
      </w:r>
      <w:proofErr w:type="gramStart"/>
      <w:r w:rsidRPr="00E233B2">
        <w:t>=  0.006</w:t>
      </w:r>
      <w:proofErr w:type="gramEnd"/>
      <w:r w:rsidRPr="00E233B2">
        <w:t xml:space="preserve"> x MW / % Claim,  where MW is the average molecular weight </w:t>
      </w:r>
    </w:p>
    <w:p w:rsidR="008A1549" w:rsidRDefault="008A1549" w:rsidP="00F9043E"/>
    <w:p w:rsidR="008A1549" w:rsidRDefault="008A1549" w:rsidP="00F9043E"/>
    <w:p w:rsidR="008A1549" w:rsidRDefault="008A1549" w:rsidP="00F9043E"/>
    <w:p w:rsidR="00BF73BB" w:rsidRDefault="00BF73BB" w:rsidP="00F9043E">
      <w:pPr>
        <w:rPr>
          <w:b/>
        </w:rPr>
      </w:pPr>
    </w:p>
    <w:p w:rsidR="00BF73BB" w:rsidRDefault="00BF73BB" w:rsidP="00F9043E">
      <w:pPr>
        <w:rPr>
          <w:b/>
        </w:rPr>
      </w:pPr>
    </w:p>
    <w:p w:rsidR="00BF73BB" w:rsidRDefault="00BF73BB" w:rsidP="00F9043E">
      <w:pPr>
        <w:rPr>
          <w:b/>
        </w:rPr>
      </w:pPr>
    </w:p>
    <w:p w:rsidR="00BF73BB" w:rsidRDefault="00BF73BB" w:rsidP="00F9043E">
      <w:pPr>
        <w:rPr>
          <w:b/>
        </w:rPr>
      </w:pPr>
    </w:p>
    <w:p w:rsidR="009A5966" w:rsidRDefault="009A5966" w:rsidP="00F9043E">
      <w:pPr>
        <w:rPr>
          <w:b/>
        </w:rPr>
      </w:pPr>
    </w:p>
    <w:p w:rsidR="00E201EB" w:rsidRDefault="00E201EB">
      <w:pPr>
        <w:rPr>
          <w:b/>
        </w:rPr>
      </w:pPr>
      <w:r>
        <w:rPr>
          <w:b/>
        </w:rPr>
        <w:br w:type="page"/>
      </w:r>
    </w:p>
    <w:p w:rsidR="00455A5A" w:rsidRPr="00D71F10" w:rsidRDefault="00BA022E" w:rsidP="00F9043E">
      <w:pPr>
        <w:rPr>
          <w:b/>
        </w:rPr>
      </w:pPr>
      <w:r w:rsidRPr="00D71F10">
        <w:rPr>
          <w:b/>
        </w:rPr>
        <w:lastRenderedPageBreak/>
        <w:t>E</w:t>
      </w:r>
      <w:r w:rsidR="00455A5A" w:rsidRPr="00D71F10">
        <w:rPr>
          <w:b/>
        </w:rPr>
        <w:t xml:space="preserve">xample of titration of </w:t>
      </w:r>
      <w:r w:rsidR="002C5B6B" w:rsidRPr="00D71F10">
        <w:rPr>
          <w:b/>
        </w:rPr>
        <w:t>Hyamine ® 1622</w:t>
      </w:r>
      <w:r w:rsidR="00455A5A" w:rsidRPr="00D71F10">
        <w:rPr>
          <w:b/>
        </w:rPr>
        <w:t>:</w:t>
      </w:r>
    </w:p>
    <w:p w:rsidR="008A1549" w:rsidRPr="00E233B2" w:rsidRDefault="008A1549" w:rsidP="00F9043E"/>
    <w:p w:rsidR="008A1549" w:rsidRPr="00E233B2" w:rsidRDefault="008A1549" w:rsidP="008A1549">
      <w:r w:rsidRPr="00E233B2">
        <w:t>Hyamine</w:t>
      </w:r>
      <w:r w:rsidRPr="00E233B2">
        <w:rPr>
          <w:vertAlign w:val="superscript"/>
        </w:rPr>
        <w:t>®</w:t>
      </w:r>
      <w:r w:rsidRPr="00E233B2">
        <w:t>1622 standard titration curve (solid line) with 0.005 N SLS, obtained using the ion surfactant electrode.  The endpoint is determined potentiometrically as the maximum of the first derivative of the titration curve (line with dots)</w:t>
      </w:r>
    </w:p>
    <w:p w:rsidR="008A1549" w:rsidRDefault="008A1549" w:rsidP="00F9043E"/>
    <w:p w:rsidR="00455A5A" w:rsidRDefault="00455A5A" w:rsidP="00F9043E"/>
    <w:p w:rsidR="00455A5A" w:rsidRDefault="008A1549" w:rsidP="00F9043E">
      <w:r w:rsidRPr="008A1549">
        <w:rPr>
          <w:noProof/>
          <w:lang w:val="de-CH" w:eastAsia="de-CH"/>
        </w:rPr>
        <w:drawing>
          <wp:inline distT="0" distB="0" distL="0" distR="0">
            <wp:extent cx="5486400" cy="2739883"/>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486400" cy="2739883"/>
                    </a:xfrm>
                    <a:prstGeom prst="rect">
                      <a:avLst/>
                    </a:prstGeom>
                    <a:noFill/>
                    <a:ln w="9525">
                      <a:noFill/>
                      <a:miter lim="800000"/>
                      <a:headEnd/>
                      <a:tailEnd/>
                    </a:ln>
                  </pic:spPr>
                </pic:pic>
              </a:graphicData>
            </a:graphic>
          </wp:inline>
        </w:drawing>
      </w:r>
    </w:p>
    <w:p w:rsidR="00AF3CCE" w:rsidRDefault="00AF3CCE" w:rsidP="00F9043E">
      <w:pPr>
        <w:rPr>
          <w:b/>
        </w:rPr>
      </w:pPr>
    </w:p>
    <w:p w:rsidR="00AF3CCE" w:rsidRDefault="00AF3CCE" w:rsidP="00F9043E">
      <w:pPr>
        <w:rPr>
          <w:b/>
        </w:rPr>
      </w:pPr>
    </w:p>
    <w:p w:rsidR="00AF3CCE" w:rsidRDefault="00AF3CCE" w:rsidP="00F9043E">
      <w:pPr>
        <w:rPr>
          <w:b/>
        </w:rPr>
      </w:pPr>
    </w:p>
    <w:p w:rsidR="00D851C7" w:rsidRPr="00D71F10" w:rsidRDefault="00455A5A" w:rsidP="00F9043E">
      <w:pPr>
        <w:rPr>
          <w:b/>
        </w:rPr>
      </w:pPr>
      <w:r w:rsidRPr="00D71F10">
        <w:rPr>
          <w:b/>
        </w:rPr>
        <w:t>Example of titration of a sample</w:t>
      </w:r>
      <w:r w:rsidR="00E81711">
        <w:t xml:space="preserve"> </w:t>
      </w:r>
      <w:r w:rsidR="00901910" w:rsidRPr="00D71F10">
        <w:rPr>
          <w:b/>
        </w:rPr>
        <w:t xml:space="preserve">(claim 16.8% total Quaternaries) 118 mg sample size </w:t>
      </w:r>
      <w:r w:rsidR="00E81711" w:rsidRPr="00D71F10">
        <w:rPr>
          <w:b/>
        </w:rPr>
        <w:t>with poor curve shape</w:t>
      </w:r>
      <w:r w:rsidRPr="00D71F10">
        <w:rPr>
          <w:b/>
        </w:rPr>
        <w:t>:</w:t>
      </w:r>
    </w:p>
    <w:p w:rsidR="00D851C7" w:rsidRDefault="00D851C7" w:rsidP="00F9043E"/>
    <w:p w:rsidR="00D851C7" w:rsidRDefault="00507983" w:rsidP="00F9043E">
      <w:r w:rsidRPr="00507983">
        <w:rPr>
          <w:noProof/>
          <w:lang w:val="de-CH" w:eastAsia="de-CH"/>
        </w:rPr>
        <w:drawing>
          <wp:inline distT="0" distB="0" distL="0" distR="0">
            <wp:extent cx="5486400" cy="2700286"/>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486400" cy="2700286"/>
                    </a:xfrm>
                    <a:prstGeom prst="rect">
                      <a:avLst/>
                    </a:prstGeom>
                    <a:noFill/>
                    <a:ln w="9525">
                      <a:noFill/>
                      <a:miter lim="800000"/>
                      <a:headEnd/>
                      <a:tailEnd/>
                    </a:ln>
                  </pic:spPr>
                </pic:pic>
              </a:graphicData>
            </a:graphic>
          </wp:inline>
        </w:drawing>
      </w:r>
    </w:p>
    <w:p w:rsidR="0039626B" w:rsidRDefault="0039626B" w:rsidP="00D851C7"/>
    <w:p w:rsidR="00D851C7" w:rsidRPr="00D71F10" w:rsidRDefault="00E81711" w:rsidP="00D851C7">
      <w:pPr>
        <w:rPr>
          <w:b/>
        </w:rPr>
      </w:pPr>
      <w:r w:rsidRPr="00D71F10">
        <w:rPr>
          <w:b/>
        </w:rPr>
        <w:lastRenderedPageBreak/>
        <w:t>Example of titration of the same sample reducing sample size from 118 mg to 47 mg</w:t>
      </w:r>
      <w:r w:rsidR="00901910" w:rsidRPr="00D71F10">
        <w:rPr>
          <w:b/>
        </w:rPr>
        <w:t xml:space="preserve"> sample size</w:t>
      </w:r>
      <w:r w:rsidRPr="00D71F10">
        <w:rPr>
          <w:b/>
        </w:rPr>
        <w:t>:</w:t>
      </w:r>
    </w:p>
    <w:p w:rsidR="00E81711" w:rsidRDefault="00E81711" w:rsidP="00D851C7"/>
    <w:p w:rsidR="00507983" w:rsidRDefault="00507983" w:rsidP="00D851C7">
      <w:r w:rsidRPr="00507983">
        <w:rPr>
          <w:noProof/>
          <w:lang w:val="de-CH" w:eastAsia="de-CH"/>
        </w:rPr>
        <w:drawing>
          <wp:inline distT="0" distB="0" distL="0" distR="0">
            <wp:extent cx="5486400" cy="2739883"/>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486400" cy="2739883"/>
                    </a:xfrm>
                    <a:prstGeom prst="rect">
                      <a:avLst/>
                    </a:prstGeom>
                    <a:noFill/>
                    <a:ln w="9525">
                      <a:noFill/>
                      <a:miter lim="800000"/>
                      <a:headEnd/>
                      <a:tailEnd/>
                    </a:ln>
                  </pic:spPr>
                </pic:pic>
              </a:graphicData>
            </a:graphic>
          </wp:inline>
        </w:drawing>
      </w:r>
    </w:p>
    <w:p w:rsidR="00E81711" w:rsidRDefault="00E81711" w:rsidP="00D851C7"/>
    <w:p w:rsidR="00E81711" w:rsidRDefault="00E81711" w:rsidP="00D851C7"/>
    <w:p w:rsidR="0039626B" w:rsidRDefault="0039626B" w:rsidP="00D851C7"/>
    <w:p w:rsidR="004720E6" w:rsidRDefault="004720E6" w:rsidP="00130F73"/>
    <w:sectPr w:rsidR="004720E6" w:rsidSect="006C03E9">
      <w:headerReference w:type="default" r:id="rId15"/>
      <w:footerReference w:type="default" r:id="rId16"/>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16F" w:rsidRDefault="0010316F">
      <w:r>
        <w:separator/>
      </w:r>
    </w:p>
  </w:endnote>
  <w:endnote w:type="continuationSeparator" w:id="0">
    <w:p w:rsidR="0010316F" w:rsidRDefault="0010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3" w:rsidRPr="001D2052" w:rsidRDefault="00A40503" w:rsidP="00A40503">
    <w:pPr>
      <w:pStyle w:val="Kopfzeile"/>
      <w:jc w:val="right"/>
      <w:rPr>
        <w:lang w:eastAsia="zh-CN"/>
      </w:rPr>
    </w:pPr>
    <w:r>
      <w:tab/>
    </w:r>
    <w:proofErr w:type="gramStart"/>
    <w:r w:rsidRPr="001D2052">
      <w:rPr>
        <w:lang w:eastAsia="zh-CN"/>
      </w:rPr>
      <w:t>page</w:t>
    </w:r>
    <w:proofErr w:type="gramEnd"/>
    <w:r w:rsidRPr="001D2052">
      <w:rPr>
        <w:lang w:eastAsia="zh-CN"/>
      </w:rPr>
      <w:t xml:space="preserve"> </w:t>
    </w:r>
    <w:r w:rsidRPr="001D2052">
      <w:rPr>
        <w:lang w:val="de-DE" w:eastAsia="zh-CN"/>
      </w:rPr>
      <w:fldChar w:fldCharType="begin"/>
    </w:r>
    <w:r w:rsidRPr="001D2052">
      <w:rPr>
        <w:lang w:val="de-DE" w:eastAsia="zh-CN"/>
      </w:rPr>
      <w:instrText xml:space="preserve"> PAGE </w:instrText>
    </w:r>
    <w:r w:rsidRPr="001D2052">
      <w:rPr>
        <w:lang w:val="de-DE" w:eastAsia="zh-CN"/>
      </w:rPr>
      <w:fldChar w:fldCharType="separate"/>
    </w:r>
    <w:r w:rsidR="003642B3">
      <w:rPr>
        <w:noProof/>
        <w:lang w:val="de-DE" w:eastAsia="zh-CN"/>
      </w:rPr>
      <w:t>9</w:t>
    </w:r>
    <w:r w:rsidRPr="001D2052">
      <w:rPr>
        <w:lang w:val="de-DE" w:eastAsia="zh-CN"/>
      </w:rPr>
      <w:fldChar w:fldCharType="end"/>
    </w:r>
    <w:r w:rsidRPr="001D2052">
      <w:rPr>
        <w:lang w:val="de-DE" w:eastAsia="zh-CN"/>
      </w:rPr>
      <w:t xml:space="preserve"> </w:t>
    </w:r>
    <w:proofErr w:type="spellStart"/>
    <w:r w:rsidRPr="001D2052">
      <w:rPr>
        <w:lang w:val="de-DE" w:eastAsia="zh-CN"/>
      </w:rPr>
      <w:t>of</w:t>
    </w:r>
    <w:proofErr w:type="spellEnd"/>
    <w:r w:rsidRPr="001D2052">
      <w:rPr>
        <w:lang w:val="de-DE" w:eastAsia="zh-CN"/>
      </w:rPr>
      <w:t xml:space="preserve">  </w:t>
    </w:r>
    <w:r w:rsidRPr="001D2052">
      <w:rPr>
        <w:lang w:val="de-DE" w:eastAsia="zh-CN"/>
      </w:rPr>
      <w:fldChar w:fldCharType="begin"/>
    </w:r>
    <w:r w:rsidRPr="001D2052">
      <w:rPr>
        <w:lang w:val="de-DE" w:eastAsia="zh-CN"/>
      </w:rPr>
      <w:instrText xml:space="preserve"> NUMPAGES </w:instrText>
    </w:r>
    <w:r w:rsidRPr="001D2052">
      <w:rPr>
        <w:lang w:val="de-DE" w:eastAsia="zh-CN"/>
      </w:rPr>
      <w:fldChar w:fldCharType="separate"/>
    </w:r>
    <w:r w:rsidR="003642B3">
      <w:rPr>
        <w:noProof/>
        <w:lang w:val="de-DE" w:eastAsia="zh-CN"/>
      </w:rPr>
      <w:t>9</w:t>
    </w:r>
    <w:r w:rsidRPr="001D2052">
      <w:rPr>
        <w:lang w:val="de-DE" w:eastAsia="zh-CN"/>
      </w:rPr>
      <w:fldChar w:fldCharType="end"/>
    </w:r>
  </w:p>
  <w:p w:rsidR="00A40503" w:rsidRPr="00A40503" w:rsidRDefault="00A40503" w:rsidP="00A405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16F" w:rsidRDefault="0010316F">
      <w:r>
        <w:separator/>
      </w:r>
    </w:p>
  </w:footnote>
  <w:footnote w:type="continuationSeparator" w:id="0">
    <w:p w:rsidR="0010316F" w:rsidRDefault="00103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3" w:rsidRPr="00152FCF" w:rsidRDefault="00A40503" w:rsidP="00A40503">
    <w:pPr>
      <w:widowControl w:val="0"/>
      <w:tabs>
        <w:tab w:val="center" w:pos="4536"/>
        <w:tab w:val="right" w:pos="9072"/>
      </w:tabs>
      <w:jc w:val="right"/>
      <w:rPr>
        <w:rFonts w:ascii="Arial" w:hAnsi="Arial" w:cs="Arial"/>
        <w:lang w:eastAsia="zh-CN"/>
      </w:rPr>
    </w:pPr>
    <w:r w:rsidRPr="00152FCF">
      <w:rPr>
        <w:rFonts w:ascii="Arial" w:hAnsi="Arial" w:cs="Arial"/>
        <w:lang w:eastAsia="zh-CN"/>
      </w:rPr>
      <w:t>CIPAC 49</w:t>
    </w:r>
    <w:r>
      <w:rPr>
        <w:rFonts w:ascii="Arial" w:hAnsi="Arial" w:cs="Arial"/>
        <w:lang w:eastAsia="zh-CN"/>
      </w:rPr>
      <w:t>65</w:t>
    </w:r>
    <w:r w:rsidRPr="00152FCF">
      <w:rPr>
        <w:rFonts w:ascii="Arial" w:hAnsi="Arial" w:cs="Arial"/>
        <w:lang w:eastAsia="zh-CN"/>
      </w:rPr>
      <w:t xml:space="preserve">/m </w:t>
    </w:r>
    <w:r w:rsidR="003642B3">
      <w:rPr>
        <w:rFonts w:ascii="Arial" w:hAnsi="Arial" w:cs="Arial"/>
        <w:lang w:eastAsia="zh-CN"/>
      </w:rPr>
      <w:t xml:space="preserve">MT </w:t>
    </w:r>
    <w:proofErr w:type="gramStart"/>
    <w:r w:rsidR="003642B3">
      <w:rPr>
        <w:rFonts w:ascii="Arial" w:hAnsi="Arial" w:cs="Arial"/>
        <w:lang w:eastAsia="zh-CN"/>
      </w:rPr>
      <w:t xml:space="preserve">199  </w:t>
    </w:r>
    <w:r>
      <w:rPr>
        <w:rFonts w:ascii="Arial" w:hAnsi="Arial" w:cs="Arial"/>
        <w:lang w:eastAsia="zh-CN"/>
      </w:rPr>
      <w:t>Quaternary</w:t>
    </w:r>
    <w:proofErr w:type="gramEnd"/>
    <w:r>
      <w:rPr>
        <w:rFonts w:ascii="Arial" w:hAnsi="Arial" w:cs="Arial"/>
        <w:lang w:eastAsia="zh-CN"/>
      </w:rPr>
      <w:t xml:space="preserve"> Ammonium Compounds</w:t>
    </w:r>
  </w:p>
  <w:p w:rsidR="00A40503" w:rsidRPr="00152FCF" w:rsidRDefault="00A40503" w:rsidP="00A40503">
    <w:pPr>
      <w:widowControl w:val="0"/>
      <w:tabs>
        <w:tab w:val="center" w:pos="4536"/>
        <w:tab w:val="right" w:pos="9072"/>
      </w:tabs>
      <w:jc w:val="right"/>
      <w:rPr>
        <w:rFonts w:ascii="Arial" w:hAnsi="Arial" w:cs="Arial"/>
        <w:lang w:eastAsia="zh-CN"/>
      </w:rPr>
    </w:pPr>
    <w:r w:rsidRPr="00152FCF">
      <w:rPr>
        <w:rFonts w:ascii="Arial" w:hAnsi="Arial" w:cs="Arial"/>
        <w:lang w:eastAsia="zh-CN"/>
      </w:rPr>
      <w:t>(June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095D"/>
    <w:multiLevelType w:val="hybridMultilevel"/>
    <w:tmpl w:val="6CB4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03D49"/>
    <w:multiLevelType w:val="hybridMultilevel"/>
    <w:tmpl w:val="A426C1D6"/>
    <w:lvl w:ilvl="0" w:tplc="EA7C2BCE">
      <w:start w:val="1"/>
      <w:numFmt w:val="lowerLetter"/>
      <w:lvlText w:val="(%1)"/>
      <w:lvlJc w:val="left"/>
      <w:pPr>
        <w:ind w:left="720" w:hanging="360"/>
      </w:pPr>
      <w:rPr>
        <w:rFonts w:ascii="Times New Roman" w:hAnsi="Times New Roman" w:cs="Times New Roman" w:hint="default"/>
        <w:b w:val="0"/>
        <w:i w:val="0"/>
        <w:strike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22474"/>
    <w:multiLevelType w:val="hybridMultilevel"/>
    <w:tmpl w:val="C46ABF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82C7B"/>
    <w:multiLevelType w:val="hybridMultilevel"/>
    <w:tmpl w:val="6AD2795A"/>
    <w:lvl w:ilvl="0" w:tplc="0409000F">
      <w:start w:val="1"/>
      <w:numFmt w:val="decimal"/>
      <w:lvlText w:val="%1."/>
      <w:lvlJc w:val="left"/>
      <w:pPr>
        <w:ind w:left="3585"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4" w15:restartNumberingAfterBreak="0">
    <w:nsid w:val="28E92349"/>
    <w:multiLevelType w:val="hybridMultilevel"/>
    <w:tmpl w:val="5C689ACC"/>
    <w:lvl w:ilvl="0" w:tplc="0409000F">
      <w:start w:val="1"/>
      <w:numFmt w:val="decimal"/>
      <w:lvlText w:val="%1."/>
      <w:lvlJc w:val="left"/>
      <w:pPr>
        <w:ind w:left="3585"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5" w15:restartNumberingAfterBreak="0">
    <w:nsid w:val="34A56140"/>
    <w:multiLevelType w:val="hybridMultilevel"/>
    <w:tmpl w:val="46EC3E36"/>
    <w:lvl w:ilvl="0" w:tplc="78749682">
      <w:start w:val="1"/>
      <w:numFmt w:val="upperLetter"/>
      <w:pStyle w:val="berschrift7"/>
      <w:lvlText w:val="%1."/>
      <w:lvlJc w:val="left"/>
      <w:pPr>
        <w:tabs>
          <w:tab w:val="num" w:pos="360"/>
        </w:tabs>
        <w:ind w:left="360" w:hanging="360"/>
      </w:pPr>
      <w:rPr>
        <w:rFonts w:hint="default"/>
      </w:rPr>
    </w:lvl>
    <w:lvl w:ilvl="1" w:tplc="EA7C2BCE">
      <w:start w:val="1"/>
      <w:numFmt w:val="lowerLetter"/>
      <w:lvlText w:val="(%2)"/>
      <w:lvlJc w:val="left"/>
      <w:pPr>
        <w:tabs>
          <w:tab w:val="num" w:pos="1080"/>
        </w:tabs>
        <w:ind w:left="1080" w:hanging="360"/>
      </w:pPr>
      <w:rPr>
        <w:rFonts w:ascii="Times New Roman" w:hAnsi="Times New Roman" w:cs="Times New Roman" w:hint="default"/>
        <w:b w:val="0"/>
        <w:i w:val="0"/>
        <w:strike w:val="0"/>
        <w:sz w:val="24"/>
        <w:szCs w:val="24"/>
      </w:rPr>
    </w:lvl>
    <w:lvl w:ilvl="2" w:tplc="0409001B">
      <w:start w:val="1"/>
      <w:numFmt w:val="lowerRoman"/>
      <w:lvlText w:val="%3."/>
      <w:lvlJc w:val="right"/>
      <w:pPr>
        <w:tabs>
          <w:tab w:val="num" w:pos="1800"/>
        </w:tabs>
        <w:ind w:left="1800" w:hanging="180"/>
      </w:pPr>
    </w:lvl>
    <w:lvl w:ilvl="3" w:tplc="3B1AC6C4">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8FB3C6E"/>
    <w:multiLevelType w:val="hybridMultilevel"/>
    <w:tmpl w:val="EF180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465AB"/>
    <w:multiLevelType w:val="hybridMultilevel"/>
    <w:tmpl w:val="17AEC7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5BF7374"/>
    <w:multiLevelType w:val="hybridMultilevel"/>
    <w:tmpl w:val="6CB4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131C8"/>
    <w:multiLevelType w:val="hybridMultilevel"/>
    <w:tmpl w:val="24369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B5758"/>
    <w:multiLevelType w:val="hybridMultilevel"/>
    <w:tmpl w:val="089EDB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9D229A"/>
    <w:multiLevelType w:val="hybridMultilevel"/>
    <w:tmpl w:val="16B469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9043C0"/>
    <w:multiLevelType w:val="hybridMultilevel"/>
    <w:tmpl w:val="24369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AB49CC"/>
    <w:multiLevelType w:val="hybridMultilevel"/>
    <w:tmpl w:val="24369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3937AF"/>
    <w:multiLevelType w:val="hybridMultilevel"/>
    <w:tmpl w:val="0AA237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72220E"/>
    <w:multiLevelType w:val="hybridMultilevel"/>
    <w:tmpl w:val="A112A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5"/>
  </w:num>
  <w:num w:numId="4">
    <w:abstractNumId w:val="7"/>
  </w:num>
  <w:num w:numId="5">
    <w:abstractNumId w:val="1"/>
  </w:num>
  <w:num w:numId="6">
    <w:abstractNumId w:val="11"/>
  </w:num>
  <w:num w:numId="7">
    <w:abstractNumId w:val="4"/>
  </w:num>
  <w:num w:numId="8">
    <w:abstractNumId w:val="3"/>
  </w:num>
  <w:num w:numId="9">
    <w:abstractNumId w:val="15"/>
  </w:num>
  <w:num w:numId="10">
    <w:abstractNumId w:val="8"/>
  </w:num>
  <w:num w:numId="11">
    <w:abstractNumId w:val="13"/>
  </w:num>
  <w:num w:numId="12">
    <w:abstractNumId w:val="12"/>
  </w:num>
  <w:num w:numId="13">
    <w:abstractNumId w:val="9"/>
  </w:num>
  <w:num w:numId="14">
    <w:abstractNumId w:val="2"/>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98"/>
    <w:rsid w:val="000021DC"/>
    <w:rsid w:val="00003E03"/>
    <w:rsid w:val="000059AB"/>
    <w:rsid w:val="00005C64"/>
    <w:rsid w:val="00025F5E"/>
    <w:rsid w:val="00037A32"/>
    <w:rsid w:val="00047E4F"/>
    <w:rsid w:val="0005046D"/>
    <w:rsid w:val="00050C4D"/>
    <w:rsid w:val="00052EB8"/>
    <w:rsid w:val="00064E8C"/>
    <w:rsid w:val="00065588"/>
    <w:rsid w:val="0008074D"/>
    <w:rsid w:val="00080FF0"/>
    <w:rsid w:val="000905F2"/>
    <w:rsid w:val="00095963"/>
    <w:rsid w:val="000B4895"/>
    <w:rsid w:val="000B5097"/>
    <w:rsid w:val="000C5AA3"/>
    <w:rsid w:val="000F0AB4"/>
    <w:rsid w:val="000F7D74"/>
    <w:rsid w:val="0010316F"/>
    <w:rsid w:val="00103A70"/>
    <w:rsid w:val="001113E6"/>
    <w:rsid w:val="00112656"/>
    <w:rsid w:val="00114E9F"/>
    <w:rsid w:val="001219CE"/>
    <w:rsid w:val="00130F73"/>
    <w:rsid w:val="00131BED"/>
    <w:rsid w:val="001358B4"/>
    <w:rsid w:val="00135BC4"/>
    <w:rsid w:val="00141BE3"/>
    <w:rsid w:val="00143400"/>
    <w:rsid w:val="00147E3F"/>
    <w:rsid w:val="001721A9"/>
    <w:rsid w:val="0017627C"/>
    <w:rsid w:val="00180B14"/>
    <w:rsid w:val="001A474C"/>
    <w:rsid w:val="001A4FC4"/>
    <w:rsid w:val="001B7A7D"/>
    <w:rsid w:val="001C0560"/>
    <w:rsid w:val="001D035F"/>
    <w:rsid w:val="001D6924"/>
    <w:rsid w:val="001E05CD"/>
    <w:rsid w:val="00203E3B"/>
    <w:rsid w:val="00207F6C"/>
    <w:rsid w:val="002203A9"/>
    <w:rsid w:val="00227C36"/>
    <w:rsid w:val="002420F4"/>
    <w:rsid w:val="002450E6"/>
    <w:rsid w:val="002459A9"/>
    <w:rsid w:val="00253539"/>
    <w:rsid w:val="00254E13"/>
    <w:rsid w:val="002558D0"/>
    <w:rsid w:val="00265134"/>
    <w:rsid w:val="00267A92"/>
    <w:rsid w:val="00274009"/>
    <w:rsid w:val="00277818"/>
    <w:rsid w:val="00281E5C"/>
    <w:rsid w:val="002836EF"/>
    <w:rsid w:val="00285831"/>
    <w:rsid w:val="00286FD2"/>
    <w:rsid w:val="002904AB"/>
    <w:rsid w:val="00292DE8"/>
    <w:rsid w:val="002968ED"/>
    <w:rsid w:val="002A1809"/>
    <w:rsid w:val="002A7741"/>
    <w:rsid w:val="002B2DC1"/>
    <w:rsid w:val="002C5B6B"/>
    <w:rsid w:val="002C669C"/>
    <w:rsid w:val="002C6B0A"/>
    <w:rsid w:val="002D7E16"/>
    <w:rsid w:val="002E624C"/>
    <w:rsid w:val="00304D52"/>
    <w:rsid w:val="00305BAE"/>
    <w:rsid w:val="003155F4"/>
    <w:rsid w:val="00316681"/>
    <w:rsid w:val="00336BC5"/>
    <w:rsid w:val="00337CBE"/>
    <w:rsid w:val="00344349"/>
    <w:rsid w:val="00345F8F"/>
    <w:rsid w:val="0035103C"/>
    <w:rsid w:val="003523EB"/>
    <w:rsid w:val="00352F63"/>
    <w:rsid w:val="00353089"/>
    <w:rsid w:val="00354FB8"/>
    <w:rsid w:val="003642B3"/>
    <w:rsid w:val="00364631"/>
    <w:rsid w:val="003702ED"/>
    <w:rsid w:val="00390C9A"/>
    <w:rsid w:val="00390CE7"/>
    <w:rsid w:val="0039626B"/>
    <w:rsid w:val="003A1882"/>
    <w:rsid w:val="003A5E22"/>
    <w:rsid w:val="003A6ACD"/>
    <w:rsid w:val="003B41E5"/>
    <w:rsid w:val="003B4919"/>
    <w:rsid w:val="003C00EA"/>
    <w:rsid w:val="003C5EEC"/>
    <w:rsid w:val="003D2D33"/>
    <w:rsid w:val="003D711C"/>
    <w:rsid w:val="003E3961"/>
    <w:rsid w:val="003E415E"/>
    <w:rsid w:val="003E5428"/>
    <w:rsid w:val="003E5F51"/>
    <w:rsid w:val="003E67EA"/>
    <w:rsid w:val="00402BFB"/>
    <w:rsid w:val="004051C0"/>
    <w:rsid w:val="004114BA"/>
    <w:rsid w:val="0041541A"/>
    <w:rsid w:val="004253E7"/>
    <w:rsid w:val="004262C2"/>
    <w:rsid w:val="00435CD4"/>
    <w:rsid w:val="00441254"/>
    <w:rsid w:val="0044280D"/>
    <w:rsid w:val="00455A5A"/>
    <w:rsid w:val="004612DA"/>
    <w:rsid w:val="00465A5A"/>
    <w:rsid w:val="00470463"/>
    <w:rsid w:val="004720E6"/>
    <w:rsid w:val="0047212A"/>
    <w:rsid w:val="004724F4"/>
    <w:rsid w:val="00472B9F"/>
    <w:rsid w:val="0048339C"/>
    <w:rsid w:val="00484D05"/>
    <w:rsid w:val="004941FD"/>
    <w:rsid w:val="00497186"/>
    <w:rsid w:val="004A3643"/>
    <w:rsid w:val="004B62E6"/>
    <w:rsid w:val="004C09F0"/>
    <w:rsid w:val="004C519C"/>
    <w:rsid w:val="004C691C"/>
    <w:rsid w:val="004D128A"/>
    <w:rsid w:val="004D129C"/>
    <w:rsid w:val="004D40C5"/>
    <w:rsid w:val="004D50E7"/>
    <w:rsid w:val="004D548D"/>
    <w:rsid w:val="004E35BE"/>
    <w:rsid w:val="004F720D"/>
    <w:rsid w:val="005035CE"/>
    <w:rsid w:val="00503B8C"/>
    <w:rsid w:val="00507983"/>
    <w:rsid w:val="00507F8B"/>
    <w:rsid w:val="0051290A"/>
    <w:rsid w:val="0051350B"/>
    <w:rsid w:val="005250FE"/>
    <w:rsid w:val="00527D79"/>
    <w:rsid w:val="00531BEB"/>
    <w:rsid w:val="005327D6"/>
    <w:rsid w:val="00532DB8"/>
    <w:rsid w:val="00552CFD"/>
    <w:rsid w:val="00552F54"/>
    <w:rsid w:val="005534C6"/>
    <w:rsid w:val="005561BA"/>
    <w:rsid w:val="005826C3"/>
    <w:rsid w:val="00583A8D"/>
    <w:rsid w:val="0059018E"/>
    <w:rsid w:val="00594B8E"/>
    <w:rsid w:val="005A2191"/>
    <w:rsid w:val="005B683D"/>
    <w:rsid w:val="005C232E"/>
    <w:rsid w:val="005D6987"/>
    <w:rsid w:val="005D69D9"/>
    <w:rsid w:val="005E088B"/>
    <w:rsid w:val="005E6BD3"/>
    <w:rsid w:val="005F1B50"/>
    <w:rsid w:val="005F70BA"/>
    <w:rsid w:val="006076B2"/>
    <w:rsid w:val="006135D7"/>
    <w:rsid w:val="00614254"/>
    <w:rsid w:val="0061488D"/>
    <w:rsid w:val="00630467"/>
    <w:rsid w:val="00641654"/>
    <w:rsid w:val="00643E6B"/>
    <w:rsid w:val="006501A2"/>
    <w:rsid w:val="00651FAD"/>
    <w:rsid w:val="00652BAB"/>
    <w:rsid w:val="00661E36"/>
    <w:rsid w:val="0066200D"/>
    <w:rsid w:val="00665E72"/>
    <w:rsid w:val="00667F34"/>
    <w:rsid w:val="006721BF"/>
    <w:rsid w:val="006816DF"/>
    <w:rsid w:val="0068683E"/>
    <w:rsid w:val="0068766E"/>
    <w:rsid w:val="0069223B"/>
    <w:rsid w:val="006A0FE2"/>
    <w:rsid w:val="006A2A3B"/>
    <w:rsid w:val="006A300A"/>
    <w:rsid w:val="006C03E9"/>
    <w:rsid w:val="006D2011"/>
    <w:rsid w:val="006D2A0B"/>
    <w:rsid w:val="006D432B"/>
    <w:rsid w:val="006E2ACA"/>
    <w:rsid w:val="006F4DAD"/>
    <w:rsid w:val="006F78B7"/>
    <w:rsid w:val="0070112F"/>
    <w:rsid w:val="007041FF"/>
    <w:rsid w:val="007072EE"/>
    <w:rsid w:val="00712D70"/>
    <w:rsid w:val="00713AFE"/>
    <w:rsid w:val="00716F5D"/>
    <w:rsid w:val="00724B01"/>
    <w:rsid w:val="00731914"/>
    <w:rsid w:val="00735F72"/>
    <w:rsid w:val="007368D4"/>
    <w:rsid w:val="007466FA"/>
    <w:rsid w:val="00747AFC"/>
    <w:rsid w:val="00760628"/>
    <w:rsid w:val="007606EC"/>
    <w:rsid w:val="00762D1D"/>
    <w:rsid w:val="007660F7"/>
    <w:rsid w:val="0077414E"/>
    <w:rsid w:val="00783BCD"/>
    <w:rsid w:val="00785CE1"/>
    <w:rsid w:val="00787D97"/>
    <w:rsid w:val="007A23F9"/>
    <w:rsid w:val="007B468C"/>
    <w:rsid w:val="007C010E"/>
    <w:rsid w:val="007D157C"/>
    <w:rsid w:val="007D469B"/>
    <w:rsid w:val="007D769C"/>
    <w:rsid w:val="007E7CCF"/>
    <w:rsid w:val="008073C1"/>
    <w:rsid w:val="00807950"/>
    <w:rsid w:val="008126DE"/>
    <w:rsid w:val="00814C07"/>
    <w:rsid w:val="0081616E"/>
    <w:rsid w:val="0081678D"/>
    <w:rsid w:val="0082634D"/>
    <w:rsid w:val="00826FE5"/>
    <w:rsid w:val="00872C84"/>
    <w:rsid w:val="00882A79"/>
    <w:rsid w:val="008931FD"/>
    <w:rsid w:val="00896286"/>
    <w:rsid w:val="008A1549"/>
    <w:rsid w:val="008A2933"/>
    <w:rsid w:val="008A3BA0"/>
    <w:rsid w:val="008A6CE5"/>
    <w:rsid w:val="008C47D9"/>
    <w:rsid w:val="008C5067"/>
    <w:rsid w:val="008C79E6"/>
    <w:rsid w:val="008D4AB5"/>
    <w:rsid w:val="008E2743"/>
    <w:rsid w:val="00901782"/>
    <w:rsid w:val="0090187E"/>
    <w:rsid w:val="00901910"/>
    <w:rsid w:val="00912905"/>
    <w:rsid w:val="00921236"/>
    <w:rsid w:val="00926637"/>
    <w:rsid w:val="0095032D"/>
    <w:rsid w:val="00951378"/>
    <w:rsid w:val="009514B0"/>
    <w:rsid w:val="00951A17"/>
    <w:rsid w:val="00952537"/>
    <w:rsid w:val="00952618"/>
    <w:rsid w:val="00954A4E"/>
    <w:rsid w:val="00973AE3"/>
    <w:rsid w:val="00982930"/>
    <w:rsid w:val="00991513"/>
    <w:rsid w:val="00996A87"/>
    <w:rsid w:val="009A5966"/>
    <w:rsid w:val="009A65FA"/>
    <w:rsid w:val="009A7F1F"/>
    <w:rsid w:val="009C1C72"/>
    <w:rsid w:val="009C20DF"/>
    <w:rsid w:val="009C430E"/>
    <w:rsid w:val="009D0A36"/>
    <w:rsid w:val="009D14FE"/>
    <w:rsid w:val="009D5BE8"/>
    <w:rsid w:val="009E066A"/>
    <w:rsid w:val="009E174E"/>
    <w:rsid w:val="009E6798"/>
    <w:rsid w:val="009E7E25"/>
    <w:rsid w:val="009F0B65"/>
    <w:rsid w:val="009F13CF"/>
    <w:rsid w:val="009F1A8F"/>
    <w:rsid w:val="009F6C81"/>
    <w:rsid w:val="009F6DE3"/>
    <w:rsid w:val="00A027D1"/>
    <w:rsid w:val="00A02CAD"/>
    <w:rsid w:val="00A03B94"/>
    <w:rsid w:val="00A11510"/>
    <w:rsid w:val="00A20599"/>
    <w:rsid w:val="00A250B4"/>
    <w:rsid w:val="00A40503"/>
    <w:rsid w:val="00A43FFF"/>
    <w:rsid w:val="00A553AC"/>
    <w:rsid w:val="00A576C5"/>
    <w:rsid w:val="00A81C7B"/>
    <w:rsid w:val="00A84C4A"/>
    <w:rsid w:val="00A942E1"/>
    <w:rsid w:val="00A94600"/>
    <w:rsid w:val="00AA4670"/>
    <w:rsid w:val="00AB48ED"/>
    <w:rsid w:val="00AB6B02"/>
    <w:rsid w:val="00AD0F96"/>
    <w:rsid w:val="00AD53A3"/>
    <w:rsid w:val="00AE40FB"/>
    <w:rsid w:val="00AF3CCE"/>
    <w:rsid w:val="00B027B6"/>
    <w:rsid w:val="00B04ABF"/>
    <w:rsid w:val="00B05488"/>
    <w:rsid w:val="00B05910"/>
    <w:rsid w:val="00B111AB"/>
    <w:rsid w:val="00B146A4"/>
    <w:rsid w:val="00B20731"/>
    <w:rsid w:val="00B24DEA"/>
    <w:rsid w:val="00B41CBB"/>
    <w:rsid w:val="00B460CA"/>
    <w:rsid w:val="00B470FA"/>
    <w:rsid w:val="00B520FB"/>
    <w:rsid w:val="00B52110"/>
    <w:rsid w:val="00B60986"/>
    <w:rsid w:val="00B64898"/>
    <w:rsid w:val="00B661C0"/>
    <w:rsid w:val="00B73918"/>
    <w:rsid w:val="00B8015F"/>
    <w:rsid w:val="00B90262"/>
    <w:rsid w:val="00BA022E"/>
    <w:rsid w:val="00BA700D"/>
    <w:rsid w:val="00BB1AD5"/>
    <w:rsid w:val="00BC094F"/>
    <w:rsid w:val="00BC2132"/>
    <w:rsid w:val="00BC5D36"/>
    <w:rsid w:val="00BD5869"/>
    <w:rsid w:val="00BD6EE9"/>
    <w:rsid w:val="00BE5672"/>
    <w:rsid w:val="00BE7B4C"/>
    <w:rsid w:val="00BF013A"/>
    <w:rsid w:val="00BF3BED"/>
    <w:rsid w:val="00BF73BB"/>
    <w:rsid w:val="00BF7F6B"/>
    <w:rsid w:val="00C10779"/>
    <w:rsid w:val="00C11937"/>
    <w:rsid w:val="00C12A57"/>
    <w:rsid w:val="00C2168F"/>
    <w:rsid w:val="00C23439"/>
    <w:rsid w:val="00C24304"/>
    <w:rsid w:val="00C252FA"/>
    <w:rsid w:val="00C26C35"/>
    <w:rsid w:val="00C32649"/>
    <w:rsid w:val="00C34BD1"/>
    <w:rsid w:val="00C4011D"/>
    <w:rsid w:val="00C45108"/>
    <w:rsid w:val="00C508A5"/>
    <w:rsid w:val="00C52F39"/>
    <w:rsid w:val="00C568D7"/>
    <w:rsid w:val="00C70AE3"/>
    <w:rsid w:val="00C86B85"/>
    <w:rsid w:val="00C875CA"/>
    <w:rsid w:val="00C90016"/>
    <w:rsid w:val="00C92A96"/>
    <w:rsid w:val="00CA178A"/>
    <w:rsid w:val="00CA5DA4"/>
    <w:rsid w:val="00CA7933"/>
    <w:rsid w:val="00CC7351"/>
    <w:rsid w:val="00CD1495"/>
    <w:rsid w:val="00CD2B11"/>
    <w:rsid w:val="00CD7798"/>
    <w:rsid w:val="00CE4716"/>
    <w:rsid w:val="00CE6BA6"/>
    <w:rsid w:val="00D02758"/>
    <w:rsid w:val="00D200BE"/>
    <w:rsid w:val="00D3254E"/>
    <w:rsid w:val="00D42EAB"/>
    <w:rsid w:val="00D43F51"/>
    <w:rsid w:val="00D50F64"/>
    <w:rsid w:val="00D52724"/>
    <w:rsid w:val="00D54B74"/>
    <w:rsid w:val="00D570BA"/>
    <w:rsid w:val="00D702B6"/>
    <w:rsid w:val="00D71F10"/>
    <w:rsid w:val="00D72602"/>
    <w:rsid w:val="00D728A7"/>
    <w:rsid w:val="00D74762"/>
    <w:rsid w:val="00D7754A"/>
    <w:rsid w:val="00D820DB"/>
    <w:rsid w:val="00D851C7"/>
    <w:rsid w:val="00D86282"/>
    <w:rsid w:val="00D93723"/>
    <w:rsid w:val="00DC136B"/>
    <w:rsid w:val="00DD4E5E"/>
    <w:rsid w:val="00DE2DA8"/>
    <w:rsid w:val="00DF273B"/>
    <w:rsid w:val="00E005E7"/>
    <w:rsid w:val="00E00B2D"/>
    <w:rsid w:val="00E05DC1"/>
    <w:rsid w:val="00E07D74"/>
    <w:rsid w:val="00E113CB"/>
    <w:rsid w:val="00E150B3"/>
    <w:rsid w:val="00E201EB"/>
    <w:rsid w:val="00E233B2"/>
    <w:rsid w:val="00E26B36"/>
    <w:rsid w:val="00E42273"/>
    <w:rsid w:val="00E470B5"/>
    <w:rsid w:val="00E552A1"/>
    <w:rsid w:val="00E55628"/>
    <w:rsid w:val="00E6031F"/>
    <w:rsid w:val="00E65F22"/>
    <w:rsid w:val="00E66D7A"/>
    <w:rsid w:val="00E678FB"/>
    <w:rsid w:val="00E81711"/>
    <w:rsid w:val="00E822AE"/>
    <w:rsid w:val="00EA36EA"/>
    <w:rsid w:val="00EA6EF8"/>
    <w:rsid w:val="00EB4800"/>
    <w:rsid w:val="00EB4853"/>
    <w:rsid w:val="00EB7251"/>
    <w:rsid w:val="00ED3570"/>
    <w:rsid w:val="00EE7A93"/>
    <w:rsid w:val="00EF1AB3"/>
    <w:rsid w:val="00EF4A44"/>
    <w:rsid w:val="00EF4B9C"/>
    <w:rsid w:val="00EF70B5"/>
    <w:rsid w:val="00F05B7E"/>
    <w:rsid w:val="00F07F0C"/>
    <w:rsid w:val="00F150EA"/>
    <w:rsid w:val="00F16A30"/>
    <w:rsid w:val="00F210C5"/>
    <w:rsid w:val="00F24D54"/>
    <w:rsid w:val="00F2656D"/>
    <w:rsid w:val="00F30063"/>
    <w:rsid w:val="00F344E0"/>
    <w:rsid w:val="00F35E7F"/>
    <w:rsid w:val="00F477BA"/>
    <w:rsid w:val="00F53A97"/>
    <w:rsid w:val="00F77108"/>
    <w:rsid w:val="00F903E9"/>
    <w:rsid w:val="00F9043E"/>
    <w:rsid w:val="00F912C2"/>
    <w:rsid w:val="00FC08C4"/>
    <w:rsid w:val="00FD646E"/>
    <w:rsid w:val="00FE2BC9"/>
    <w:rsid w:val="00FE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42154A-0A64-4D24-9CCD-9F55C3D3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12C2"/>
    <w:rPr>
      <w:sz w:val="24"/>
      <w:szCs w:val="24"/>
    </w:rPr>
  </w:style>
  <w:style w:type="paragraph" w:styleId="berschrift2">
    <w:name w:val="heading 2"/>
    <w:basedOn w:val="Standard"/>
    <w:next w:val="Standard"/>
    <w:qFormat/>
    <w:rsid w:val="001B31E7"/>
    <w:pPr>
      <w:keepNext/>
      <w:outlineLvl w:val="1"/>
    </w:pPr>
    <w:rPr>
      <w:szCs w:val="20"/>
    </w:rPr>
  </w:style>
  <w:style w:type="paragraph" w:styleId="berschrift7">
    <w:name w:val="heading 7"/>
    <w:basedOn w:val="Standard"/>
    <w:next w:val="Standard"/>
    <w:link w:val="berschrift7Zchn"/>
    <w:qFormat/>
    <w:rsid w:val="001B31E7"/>
    <w:pPr>
      <w:keepNext/>
      <w:numPr>
        <w:numId w:val="3"/>
      </w:numPr>
      <w:outlineLvl w:val="6"/>
    </w:pPr>
    <w:rPr>
      <w:rFonts w:ascii="Arial" w:hAnsi="Arial" w:cs="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D7798"/>
    <w:pPr>
      <w:tabs>
        <w:tab w:val="center" w:pos="4320"/>
        <w:tab w:val="right" w:pos="8640"/>
      </w:tabs>
    </w:pPr>
  </w:style>
  <w:style w:type="paragraph" w:styleId="Fuzeile">
    <w:name w:val="footer"/>
    <w:basedOn w:val="Standard"/>
    <w:rsid w:val="00CD7798"/>
    <w:pPr>
      <w:tabs>
        <w:tab w:val="center" w:pos="4320"/>
        <w:tab w:val="right" w:pos="8640"/>
      </w:tabs>
    </w:pPr>
  </w:style>
  <w:style w:type="character" w:styleId="Seitenzahl">
    <w:name w:val="page number"/>
    <w:basedOn w:val="Absatz-Standardschriftart"/>
    <w:rsid w:val="005C2ABB"/>
  </w:style>
  <w:style w:type="paragraph" w:styleId="Sprechblasentext">
    <w:name w:val="Balloon Text"/>
    <w:basedOn w:val="Standard"/>
    <w:semiHidden/>
    <w:rsid w:val="00D24B94"/>
    <w:rPr>
      <w:rFonts w:ascii="Tahoma" w:hAnsi="Tahoma" w:cs="Tahoma"/>
      <w:sz w:val="16"/>
      <w:szCs w:val="16"/>
    </w:rPr>
  </w:style>
  <w:style w:type="character" w:styleId="Kommentarzeichen">
    <w:name w:val="annotation reference"/>
    <w:basedOn w:val="Absatz-Standardschriftart"/>
    <w:semiHidden/>
    <w:rsid w:val="00F55A4A"/>
    <w:rPr>
      <w:sz w:val="16"/>
      <w:szCs w:val="16"/>
    </w:rPr>
  </w:style>
  <w:style w:type="paragraph" w:styleId="Kommentartext">
    <w:name w:val="annotation text"/>
    <w:basedOn w:val="Standard"/>
    <w:semiHidden/>
    <w:rsid w:val="00F55A4A"/>
    <w:rPr>
      <w:sz w:val="20"/>
      <w:szCs w:val="20"/>
    </w:rPr>
  </w:style>
  <w:style w:type="paragraph" w:styleId="Kommentarthema">
    <w:name w:val="annotation subject"/>
    <w:basedOn w:val="Kommentartext"/>
    <w:next w:val="Kommentartext"/>
    <w:semiHidden/>
    <w:rsid w:val="00F55A4A"/>
    <w:rPr>
      <w:b/>
      <w:bCs/>
    </w:rPr>
  </w:style>
  <w:style w:type="character" w:customStyle="1" w:styleId="style53">
    <w:name w:val="style53"/>
    <w:basedOn w:val="Absatz-Standardschriftart"/>
    <w:rsid w:val="00D90F75"/>
  </w:style>
  <w:style w:type="character" w:styleId="Hyperlink">
    <w:name w:val="Hyperlink"/>
    <w:basedOn w:val="Absatz-Standardschriftart"/>
    <w:rsid w:val="00D90F75"/>
    <w:rPr>
      <w:color w:val="0000FF"/>
      <w:u w:val="single"/>
    </w:rPr>
  </w:style>
  <w:style w:type="table" w:styleId="Tabellenraster">
    <w:name w:val="Table Grid"/>
    <w:basedOn w:val="NormaleTabelle"/>
    <w:uiPriority w:val="59"/>
    <w:rsid w:val="0094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7212A"/>
    <w:pPr>
      <w:ind w:left="720"/>
      <w:contextualSpacing/>
    </w:pPr>
  </w:style>
  <w:style w:type="character" w:styleId="Platzhaltertext">
    <w:name w:val="Placeholder Text"/>
    <w:basedOn w:val="Absatz-Standardschriftart"/>
    <w:uiPriority w:val="99"/>
    <w:semiHidden/>
    <w:rsid w:val="005D69D9"/>
    <w:rPr>
      <w:color w:val="808080"/>
    </w:rPr>
  </w:style>
  <w:style w:type="paragraph" w:styleId="Funotentext">
    <w:name w:val="footnote text"/>
    <w:basedOn w:val="Standard"/>
    <w:link w:val="FunotentextZchn"/>
    <w:rsid w:val="001721A9"/>
    <w:rPr>
      <w:sz w:val="20"/>
      <w:szCs w:val="20"/>
    </w:rPr>
  </w:style>
  <w:style w:type="character" w:customStyle="1" w:styleId="FunotentextZchn">
    <w:name w:val="Fußnotentext Zchn"/>
    <w:basedOn w:val="Absatz-Standardschriftart"/>
    <w:link w:val="Funotentext"/>
    <w:rsid w:val="001721A9"/>
  </w:style>
  <w:style w:type="character" w:styleId="Funotenzeichen">
    <w:name w:val="footnote reference"/>
    <w:basedOn w:val="Absatz-Standardschriftart"/>
    <w:rsid w:val="001721A9"/>
    <w:rPr>
      <w:vertAlign w:val="superscript"/>
    </w:rPr>
  </w:style>
  <w:style w:type="paragraph" w:styleId="NurText">
    <w:name w:val="Plain Text"/>
    <w:basedOn w:val="Standard"/>
    <w:link w:val="NurTextZchn"/>
    <w:uiPriority w:val="99"/>
    <w:unhideWhenUsed/>
    <w:rsid w:val="00C11937"/>
    <w:rPr>
      <w:rFonts w:ascii="Consolas" w:eastAsiaTheme="minorHAnsi" w:hAnsi="Consolas" w:cstheme="minorBidi"/>
      <w:sz w:val="21"/>
      <w:szCs w:val="21"/>
    </w:rPr>
  </w:style>
  <w:style w:type="character" w:customStyle="1" w:styleId="NurTextZchn">
    <w:name w:val="Nur Text Zchn"/>
    <w:basedOn w:val="Absatz-Standardschriftart"/>
    <w:link w:val="NurText"/>
    <w:uiPriority w:val="99"/>
    <w:rsid w:val="00C11937"/>
    <w:rPr>
      <w:rFonts w:ascii="Consolas" w:eastAsiaTheme="minorHAnsi" w:hAnsi="Consolas" w:cstheme="minorBidi"/>
      <w:sz w:val="21"/>
      <w:szCs w:val="21"/>
    </w:rPr>
  </w:style>
  <w:style w:type="character" w:styleId="HTMLSchreibmaschine">
    <w:name w:val="HTML Typewriter"/>
    <w:basedOn w:val="Absatz-Standardschriftart"/>
    <w:uiPriority w:val="99"/>
    <w:unhideWhenUsed/>
    <w:rsid w:val="00345F8F"/>
    <w:rPr>
      <w:rFonts w:ascii="Tahoma" w:eastAsiaTheme="minorHAnsi" w:hAnsi="Tahoma" w:cs="Tahoma" w:hint="default"/>
      <w:sz w:val="20"/>
      <w:szCs w:val="20"/>
    </w:rPr>
  </w:style>
  <w:style w:type="character" w:customStyle="1" w:styleId="berschrift7Zchn">
    <w:name w:val="Überschrift 7 Zchn"/>
    <w:basedOn w:val="Absatz-Standardschriftart"/>
    <w:link w:val="berschrift7"/>
    <w:rsid w:val="0077414E"/>
    <w:rPr>
      <w:rFonts w:ascii="Arial" w:hAnsi="Arial" w:cs="Arial"/>
      <w:b/>
      <w:sz w:val="24"/>
    </w:rPr>
  </w:style>
  <w:style w:type="paragraph" w:customStyle="1" w:styleId="Amount">
    <w:name w:val="Amount"/>
    <w:basedOn w:val="Standard"/>
    <w:rsid w:val="002E624C"/>
    <w:pPr>
      <w:jc w:val="right"/>
    </w:pPr>
    <w:rPr>
      <w:rFonts w:ascii="Palatino Linotype" w:hAnsi="Palatino Linotype"/>
      <w:color w:val="000000"/>
      <w:sz w:val="16"/>
      <w:szCs w:val="16"/>
    </w:rPr>
  </w:style>
  <w:style w:type="paragraph" w:styleId="StandardWeb">
    <w:name w:val="Normal (Web)"/>
    <w:basedOn w:val="Standard"/>
    <w:uiPriority w:val="99"/>
    <w:semiHidden/>
    <w:unhideWhenUsed/>
    <w:rsid w:val="00DE2DA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080">
      <w:bodyDiv w:val="1"/>
      <w:marLeft w:val="0"/>
      <w:marRight w:val="0"/>
      <w:marTop w:val="0"/>
      <w:marBottom w:val="0"/>
      <w:divBdr>
        <w:top w:val="none" w:sz="0" w:space="0" w:color="auto"/>
        <w:left w:val="none" w:sz="0" w:space="0" w:color="auto"/>
        <w:bottom w:val="none" w:sz="0" w:space="0" w:color="auto"/>
        <w:right w:val="none" w:sz="0" w:space="0" w:color="auto"/>
      </w:divBdr>
    </w:div>
    <w:div w:id="141821210">
      <w:bodyDiv w:val="1"/>
      <w:marLeft w:val="0"/>
      <w:marRight w:val="0"/>
      <w:marTop w:val="0"/>
      <w:marBottom w:val="0"/>
      <w:divBdr>
        <w:top w:val="none" w:sz="0" w:space="0" w:color="auto"/>
        <w:left w:val="none" w:sz="0" w:space="0" w:color="auto"/>
        <w:bottom w:val="none" w:sz="0" w:space="0" w:color="auto"/>
        <w:right w:val="none" w:sz="0" w:space="0" w:color="auto"/>
      </w:divBdr>
    </w:div>
    <w:div w:id="312804968">
      <w:bodyDiv w:val="1"/>
      <w:marLeft w:val="0"/>
      <w:marRight w:val="0"/>
      <w:marTop w:val="0"/>
      <w:marBottom w:val="0"/>
      <w:divBdr>
        <w:top w:val="none" w:sz="0" w:space="0" w:color="auto"/>
        <w:left w:val="none" w:sz="0" w:space="0" w:color="auto"/>
        <w:bottom w:val="none" w:sz="0" w:space="0" w:color="auto"/>
        <w:right w:val="none" w:sz="0" w:space="0" w:color="auto"/>
      </w:divBdr>
    </w:div>
    <w:div w:id="367070496">
      <w:bodyDiv w:val="1"/>
      <w:marLeft w:val="0"/>
      <w:marRight w:val="0"/>
      <w:marTop w:val="0"/>
      <w:marBottom w:val="0"/>
      <w:divBdr>
        <w:top w:val="none" w:sz="0" w:space="0" w:color="auto"/>
        <w:left w:val="none" w:sz="0" w:space="0" w:color="auto"/>
        <w:bottom w:val="none" w:sz="0" w:space="0" w:color="auto"/>
        <w:right w:val="none" w:sz="0" w:space="0" w:color="auto"/>
      </w:divBdr>
    </w:div>
    <w:div w:id="389425989">
      <w:bodyDiv w:val="1"/>
      <w:marLeft w:val="0"/>
      <w:marRight w:val="0"/>
      <w:marTop w:val="0"/>
      <w:marBottom w:val="0"/>
      <w:divBdr>
        <w:top w:val="none" w:sz="0" w:space="0" w:color="auto"/>
        <w:left w:val="none" w:sz="0" w:space="0" w:color="auto"/>
        <w:bottom w:val="none" w:sz="0" w:space="0" w:color="auto"/>
        <w:right w:val="none" w:sz="0" w:space="0" w:color="auto"/>
      </w:divBdr>
    </w:div>
    <w:div w:id="553927867">
      <w:bodyDiv w:val="1"/>
      <w:marLeft w:val="0"/>
      <w:marRight w:val="0"/>
      <w:marTop w:val="0"/>
      <w:marBottom w:val="0"/>
      <w:divBdr>
        <w:top w:val="none" w:sz="0" w:space="0" w:color="auto"/>
        <w:left w:val="none" w:sz="0" w:space="0" w:color="auto"/>
        <w:bottom w:val="none" w:sz="0" w:space="0" w:color="auto"/>
        <w:right w:val="none" w:sz="0" w:space="0" w:color="auto"/>
      </w:divBdr>
    </w:div>
    <w:div w:id="666593714">
      <w:bodyDiv w:val="1"/>
      <w:marLeft w:val="0"/>
      <w:marRight w:val="0"/>
      <w:marTop w:val="0"/>
      <w:marBottom w:val="0"/>
      <w:divBdr>
        <w:top w:val="none" w:sz="0" w:space="0" w:color="auto"/>
        <w:left w:val="none" w:sz="0" w:space="0" w:color="auto"/>
        <w:bottom w:val="none" w:sz="0" w:space="0" w:color="auto"/>
        <w:right w:val="none" w:sz="0" w:space="0" w:color="auto"/>
      </w:divBdr>
    </w:div>
    <w:div w:id="674503646">
      <w:bodyDiv w:val="1"/>
      <w:marLeft w:val="0"/>
      <w:marRight w:val="0"/>
      <w:marTop w:val="0"/>
      <w:marBottom w:val="0"/>
      <w:divBdr>
        <w:top w:val="none" w:sz="0" w:space="0" w:color="auto"/>
        <w:left w:val="none" w:sz="0" w:space="0" w:color="auto"/>
        <w:bottom w:val="none" w:sz="0" w:space="0" w:color="auto"/>
        <w:right w:val="none" w:sz="0" w:space="0" w:color="auto"/>
      </w:divBdr>
    </w:div>
    <w:div w:id="729185870">
      <w:bodyDiv w:val="1"/>
      <w:marLeft w:val="0"/>
      <w:marRight w:val="0"/>
      <w:marTop w:val="0"/>
      <w:marBottom w:val="0"/>
      <w:divBdr>
        <w:top w:val="none" w:sz="0" w:space="0" w:color="auto"/>
        <w:left w:val="none" w:sz="0" w:space="0" w:color="auto"/>
        <w:bottom w:val="none" w:sz="0" w:space="0" w:color="auto"/>
        <w:right w:val="none" w:sz="0" w:space="0" w:color="auto"/>
      </w:divBdr>
    </w:div>
    <w:div w:id="729419957">
      <w:bodyDiv w:val="1"/>
      <w:marLeft w:val="0"/>
      <w:marRight w:val="0"/>
      <w:marTop w:val="0"/>
      <w:marBottom w:val="0"/>
      <w:divBdr>
        <w:top w:val="none" w:sz="0" w:space="0" w:color="auto"/>
        <w:left w:val="none" w:sz="0" w:space="0" w:color="auto"/>
        <w:bottom w:val="none" w:sz="0" w:space="0" w:color="auto"/>
        <w:right w:val="none" w:sz="0" w:space="0" w:color="auto"/>
      </w:divBdr>
    </w:div>
    <w:div w:id="767701352">
      <w:bodyDiv w:val="1"/>
      <w:marLeft w:val="0"/>
      <w:marRight w:val="0"/>
      <w:marTop w:val="0"/>
      <w:marBottom w:val="0"/>
      <w:divBdr>
        <w:top w:val="none" w:sz="0" w:space="0" w:color="auto"/>
        <w:left w:val="none" w:sz="0" w:space="0" w:color="auto"/>
        <w:bottom w:val="none" w:sz="0" w:space="0" w:color="auto"/>
        <w:right w:val="none" w:sz="0" w:space="0" w:color="auto"/>
      </w:divBdr>
    </w:div>
    <w:div w:id="842279671">
      <w:bodyDiv w:val="1"/>
      <w:marLeft w:val="0"/>
      <w:marRight w:val="0"/>
      <w:marTop w:val="0"/>
      <w:marBottom w:val="0"/>
      <w:divBdr>
        <w:top w:val="none" w:sz="0" w:space="0" w:color="auto"/>
        <w:left w:val="none" w:sz="0" w:space="0" w:color="auto"/>
        <w:bottom w:val="none" w:sz="0" w:space="0" w:color="auto"/>
        <w:right w:val="none" w:sz="0" w:space="0" w:color="auto"/>
      </w:divBdr>
    </w:div>
    <w:div w:id="858396437">
      <w:bodyDiv w:val="1"/>
      <w:marLeft w:val="0"/>
      <w:marRight w:val="0"/>
      <w:marTop w:val="0"/>
      <w:marBottom w:val="0"/>
      <w:divBdr>
        <w:top w:val="none" w:sz="0" w:space="0" w:color="auto"/>
        <w:left w:val="none" w:sz="0" w:space="0" w:color="auto"/>
        <w:bottom w:val="none" w:sz="0" w:space="0" w:color="auto"/>
        <w:right w:val="none" w:sz="0" w:space="0" w:color="auto"/>
      </w:divBdr>
    </w:div>
    <w:div w:id="871117552">
      <w:bodyDiv w:val="1"/>
      <w:marLeft w:val="0"/>
      <w:marRight w:val="0"/>
      <w:marTop w:val="0"/>
      <w:marBottom w:val="0"/>
      <w:divBdr>
        <w:top w:val="none" w:sz="0" w:space="0" w:color="auto"/>
        <w:left w:val="none" w:sz="0" w:space="0" w:color="auto"/>
        <w:bottom w:val="none" w:sz="0" w:space="0" w:color="auto"/>
        <w:right w:val="none" w:sz="0" w:space="0" w:color="auto"/>
      </w:divBdr>
    </w:div>
    <w:div w:id="970091606">
      <w:bodyDiv w:val="1"/>
      <w:marLeft w:val="0"/>
      <w:marRight w:val="0"/>
      <w:marTop w:val="0"/>
      <w:marBottom w:val="0"/>
      <w:divBdr>
        <w:top w:val="none" w:sz="0" w:space="0" w:color="auto"/>
        <w:left w:val="none" w:sz="0" w:space="0" w:color="auto"/>
        <w:bottom w:val="none" w:sz="0" w:space="0" w:color="auto"/>
        <w:right w:val="none" w:sz="0" w:space="0" w:color="auto"/>
      </w:divBdr>
    </w:div>
    <w:div w:id="1048727528">
      <w:bodyDiv w:val="1"/>
      <w:marLeft w:val="0"/>
      <w:marRight w:val="0"/>
      <w:marTop w:val="0"/>
      <w:marBottom w:val="0"/>
      <w:divBdr>
        <w:top w:val="none" w:sz="0" w:space="0" w:color="auto"/>
        <w:left w:val="none" w:sz="0" w:space="0" w:color="auto"/>
        <w:bottom w:val="none" w:sz="0" w:space="0" w:color="auto"/>
        <w:right w:val="none" w:sz="0" w:space="0" w:color="auto"/>
      </w:divBdr>
    </w:div>
    <w:div w:id="1167789675">
      <w:bodyDiv w:val="1"/>
      <w:marLeft w:val="0"/>
      <w:marRight w:val="0"/>
      <w:marTop w:val="0"/>
      <w:marBottom w:val="0"/>
      <w:divBdr>
        <w:top w:val="none" w:sz="0" w:space="0" w:color="auto"/>
        <w:left w:val="none" w:sz="0" w:space="0" w:color="auto"/>
        <w:bottom w:val="none" w:sz="0" w:space="0" w:color="auto"/>
        <w:right w:val="none" w:sz="0" w:space="0" w:color="auto"/>
      </w:divBdr>
    </w:div>
    <w:div w:id="1241596312">
      <w:bodyDiv w:val="1"/>
      <w:marLeft w:val="0"/>
      <w:marRight w:val="0"/>
      <w:marTop w:val="0"/>
      <w:marBottom w:val="0"/>
      <w:divBdr>
        <w:top w:val="none" w:sz="0" w:space="0" w:color="auto"/>
        <w:left w:val="none" w:sz="0" w:space="0" w:color="auto"/>
        <w:bottom w:val="none" w:sz="0" w:space="0" w:color="auto"/>
        <w:right w:val="none" w:sz="0" w:space="0" w:color="auto"/>
      </w:divBdr>
    </w:div>
    <w:div w:id="1305506688">
      <w:bodyDiv w:val="1"/>
      <w:marLeft w:val="0"/>
      <w:marRight w:val="0"/>
      <w:marTop w:val="0"/>
      <w:marBottom w:val="0"/>
      <w:divBdr>
        <w:top w:val="none" w:sz="0" w:space="0" w:color="auto"/>
        <w:left w:val="none" w:sz="0" w:space="0" w:color="auto"/>
        <w:bottom w:val="none" w:sz="0" w:space="0" w:color="auto"/>
        <w:right w:val="none" w:sz="0" w:space="0" w:color="auto"/>
      </w:divBdr>
    </w:div>
    <w:div w:id="1445615189">
      <w:bodyDiv w:val="1"/>
      <w:marLeft w:val="0"/>
      <w:marRight w:val="0"/>
      <w:marTop w:val="0"/>
      <w:marBottom w:val="0"/>
      <w:divBdr>
        <w:top w:val="none" w:sz="0" w:space="0" w:color="auto"/>
        <w:left w:val="none" w:sz="0" w:space="0" w:color="auto"/>
        <w:bottom w:val="none" w:sz="0" w:space="0" w:color="auto"/>
        <w:right w:val="none" w:sz="0" w:space="0" w:color="auto"/>
      </w:divBdr>
    </w:div>
    <w:div w:id="1465925119">
      <w:bodyDiv w:val="1"/>
      <w:marLeft w:val="0"/>
      <w:marRight w:val="0"/>
      <w:marTop w:val="0"/>
      <w:marBottom w:val="0"/>
      <w:divBdr>
        <w:top w:val="none" w:sz="0" w:space="0" w:color="auto"/>
        <w:left w:val="none" w:sz="0" w:space="0" w:color="auto"/>
        <w:bottom w:val="none" w:sz="0" w:space="0" w:color="auto"/>
        <w:right w:val="none" w:sz="0" w:space="0" w:color="auto"/>
      </w:divBdr>
    </w:div>
    <w:div w:id="1494367729">
      <w:bodyDiv w:val="1"/>
      <w:marLeft w:val="0"/>
      <w:marRight w:val="0"/>
      <w:marTop w:val="0"/>
      <w:marBottom w:val="0"/>
      <w:divBdr>
        <w:top w:val="none" w:sz="0" w:space="0" w:color="auto"/>
        <w:left w:val="none" w:sz="0" w:space="0" w:color="auto"/>
        <w:bottom w:val="none" w:sz="0" w:space="0" w:color="auto"/>
        <w:right w:val="none" w:sz="0" w:space="0" w:color="auto"/>
      </w:divBdr>
    </w:div>
    <w:div w:id="1507285812">
      <w:bodyDiv w:val="1"/>
      <w:marLeft w:val="0"/>
      <w:marRight w:val="0"/>
      <w:marTop w:val="0"/>
      <w:marBottom w:val="0"/>
      <w:divBdr>
        <w:top w:val="none" w:sz="0" w:space="0" w:color="auto"/>
        <w:left w:val="none" w:sz="0" w:space="0" w:color="auto"/>
        <w:bottom w:val="none" w:sz="0" w:space="0" w:color="auto"/>
        <w:right w:val="none" w:sz="0" w:space="0" w:color="auto"/>
      </w:divBdr>
    </w:div>
    <w:div w:id="1515607534">
      <w:bodyDiv w:val="1"/>
      <w:marLeft w:val="0"/>
      <w:marRight w:val="0"/>
      <w:marTop w:val="0"/>
      <w:marBottom w:val="0"/>
      <w:divBdr>
        <w:top w:val="none" w:sz="0" w:space="0" w:color="auto"/>
        <w:left w:val="none" w:sz="0" w:space="0" w:color="auto"/>
        <w:bottom w:val="none" w:sz="0" w:space="0" w:color="auto"/>
        <w:right w:val="none" w:sz="0" w:space="0" w:color="auto"/>
      </w:divBdr>
    </w:div>
    <w:div w:id="1520048425">
      <w:bodyDiv w:val="1"/>
      <w:marLeft w:val="0"/>
      <w:marRight w:val="0"/>
      <w:marTop w:val="0"/>
      <w:marBottom w:val="0"/>
      <w:divBdr>
        <w:top w:val="none" w:sz="0" w:space="0" w:color="auto"/>
        <w:left w:val="none" w:sz="0" w:space="0" w:color="auto"/>
        <w:bottom w:val="none" w:sz="0" w:space="0" w:color="auto"/>
        <w:right w:val="none" w:sz="0" w:space="0" w:color="auto"/>
      </w:divBdr>
    </w:div>
    <w:div w:id="1542329144">
      <w:bodyDiv w:val="1"/>
      <w:marLeft w:val="0"/>
      <w:marRight w:val="0"/>
      <w:marTop w:val="0"/>
      <w:marBottom w:val="0"/>
      <w:divBdr>
        <w:top w:val="none" w:sz="0" w:space="0" w:color="auto"/>
        <w:left w:val="none" w:sz="0" w:space="0" w:color="auto"/>
        <w:bottom w:val="none" w:sz="0" w:space="0" w:color="auto"/>
        <w:right w:val="none" w:sz="0" w:space="0" w:color="auto"/>
      </w:divBdr>
    </w:div>
    <w:div w:id="1555896427">
      <w:bodyDiv w:val="1"/>
      <w:marLeft w:val="0"/>
      <w:marRight w:val="0"/>
      <w:marTop w:val="0"/>
      <w:marBottom w:val="0"/>
      <w:divBdr>
        <w:top w:val="none" w:sz="0" w:space="0" w:color="auto"/>
        <w:left w:val="none" w:sz="0" w:space="0" w:color="auto"/>
        <w:bottom w:val="none" w:sz="0" w:space="0" w:color="auto"/>
        <w:right w:val="none" w:sz="0" w:space="0" w:color="auto"/>
      </w:divBdr>
    </w:div>
    <w:div w:id="1640526955">
      <w:bodyDiv w:val="1"/>
      <w:marLeft w:val="0"/>
      <w:marRight w:val="0"/>
      <w:marTop w:val="0"/>
      <w:marBottom w:val="0"/>
      <w:divBdr>
        <w:top w:val="none" w:sz="0" w:space="0" w:color="auto"/>
        <w:left w:val="none" w:sz="0" w:space="0" w:color="auto"/>
        <w:bottom w:val="none" w:sz="0" w:space="0" w:color="auto"/>
        <w:right w:val="none" w:sz="0" w:space="0" w:color="auto"/>
      </w:divBdr>
    </w:div>
    <w:div w:id="1753770616">
      <w:bodyDiv w:val="1"/>
      <w:marLeft w:val="0"/>
      <w:marRight w:val="0"/>
      <w:marTop w:val="0"/>
      <w:marBottom w:val="0"/>
      <w:divBdr>
        <w:top w:val="none" w:sz="0" w:space="0" w:color="auto"/>
        <w:left w:val="none" w:sz="0" w:space="0" w:color="auto"/>
        <w:bottom w:val="none" w:sz="0" w:space="0" w:color="auto"/>
        <w:right w:val="none" w:sz="0" w:space="0" w:color="auto"/>
      </w:divBdr>
    </w:div>
    <w:div w:id="1866407268">
      <w:bodyDiv w:val="1"/>
      <w:marLeft w:val="0"/>
      <w:marRight w:val="0"/>
      <w:marTop w:val="0"/>
      <w:marBottom w:val="0"/>
      <w:divBdr>
        <w:top w:val="none" w:sz="0" w:space="0" w:color="auto"/>
        <w:left w:val="none" w:sz="0" w:space="0" w:color="auto"/>
        <w:bottom w:val="none" w:sz="0" w:space="0" w:color="auto"/>
        <w:right w:val="none" w:sz="0" w:space="0" w:color="auto"/>
      </w:divBdr>
    </w:div>
    <w:div w:id="1872261693">
      <w:bodyDiv w:val="1"/>
      <w:marLeft w:val="0"/>
      <w:marRight w:val="0"/>
      <w:marTop w:val="0"/>
      <w:marBottom w:val="0"/>
      <w:divBdr>
        <w:top w:val="none" w:sz="0" w:space="0" w:color="auto"/>
        <w:left w:val="none" w:sz="0" w:space="0" w:color="auto"/>
        <w:bottom w:val="none" w:sz="0" w:space="0" w:color="auto"/>
        <w:right w:val="none" w:sz="0" w:space="0" w:color="auto"/>
      </w:divBdr>
    </w:div>
    <w:div w:id="1934245063">
      <w:bodyDiv w:val="1"/>
      <w:marLeft w:val="0"/>
      <w:marRight w:val="0"/>
      <w:marTop w:val="0"/>
      <w:marBottom w:val="0"/>
      <w:divBdr>
        <w:top w:val="none" w:sz="0" w:space="0" w:color="auto"/>
        <w:left w:val="none" w:sz="0" w:space="0" w:color="auto"/>
        <w:bottom w:val="none" w:sz="0" w:space="0" w:color="auto"/>
        <w:right w:val="none" w:sz="0" w:space="0" w:color="auto"/>
      </w:divBdr>
    </w:div>
    <w:div w:id="1990132287">
      <w:bodyDiv w:val="1"/>
      <w:marLeft w:val="0"/>
      <w:marRight w:val="0"/>
      <w:marTop w:val="0"/>
      <w:marBottom w:val="0"/>
      <w:divBdr>
        <w:top w:val="none" w:sz="0" w:space="0" w:color="auto"/>
        <w:left w:val="none" w:sz="0" w:space="0" w:color="auto"/>
        <w:bottom w:val="none" w:sz="0" w:space="0" w:color="auto"/>
        <w:right w:val="none" w:sz="0" w:space="0" w:color="auto"/>
      </w:divBdr>
    </w:div>
    <w:div w:id="2014719325">
      <w:bodyDiv w:val="1"/>
      <w:marLeft w:val="0"/>
      <w:marRight w:val="0"/>
      <w:marTop w:val="0"/>
      <w:marBottom w:val="0"/>
      <w:divBdr>
        <w:top w:val="none" w:sz="0" w:space="0" w:color="auto"/>
        <w:left w:val="none" w:sz="0" w:space="0" w:color="auto"/>
        <w:bottom w:val="none" w:sz="0" w:space="0" w:color="auto"/>
        <w:right w:val="none" w:sz="0" w:space="0" w:color="auto"/>
      </w:divBdr>
    </w:div>
    <w:div w:id="2103448733">
      <w:bodyDiv w:val="1"/>
      <w:marLeft w:val="0"/>
      <w:marRight w:val="0"/>
      <w:marTop w:val="0"/>
      <w:marBottom w:val="0"/>
      <w:divBdr>
        <w:top w:val="none" w:sz="0" w:space="0" w:color="auto"/>
        <w:left w:val="none" w:sz="0" w:space="0" w:color="auto"/>
        <w:bottom w:val="none" w:sz="0" w:space="0" w:color="auto"/>
        <w:right w:val="none" w:sz="0" w:space="0" w:color="auto"/>
      </w:divBdr>
    </w:div>
    <w:div w:id="214199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pac.org/prepubme.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840E5-591A-4CAC-A0EB-0B1F490AEBCB}">
  <ds:schemaRefs>
    <ds:schemaRef ds:uri="http://schemas.openxmlformats.org/officeDocument/2006/bibliography"/>
  </ds:schemaRefs>
</ds:datastoreItem>
</file>

<file path=customXml/itemProps2.xml><?xml version="1.0" encoding="utf-8"?>
<ds:datastoreItem xmlns:ds="http://schemas.openxmlformats.org/officeDocument/2006/customXml" ds:itemID="{F0FDADBE-BB2F-4605-AFB4-C3711AD5C4C1}">
  <ds:schemaRefs>
    <ds:schemaRef ds:uri="http://schemas.openxmlformats.org/officeDocument/2006/bibliography"/>
  </ds:schemaRefs>
</ds:datastoreItem>
</file>

<file path=customXml/itemProps3.xml><?xml version="1.0" encoding="utf-8"?>
<ds:datastoreItem xmlns:ds="http://schemas.openxmlformats.org/officeDocument/2006/customXml" ds:itemID="{C18D1999-C959-4063-A29F-5EBA680C4DD3}">
  <ds:schemaRefs>
    <ds:schemaRef ds:uri="http://schemas.openxmlformats.org/officeDocument/2006/bibliography"/>
  </ds:schemaRefs>
</ds:datastoreItem>
</file>

<file path=customXml/itemProps4.xml><?xml version="1.0" encoding="utf-8"?>
<ds:datastoreItem xmlns:ds="http://schemas.openxmlformats.org/officeDocument/2006/customXml" ds:itemID="{85B22DF7-0284-49D4-8C90-0A5D0B24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1349</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“Determination of mixed phenols and phenates in disinfectant formulations by Liquid Chromatography with ultra-violet detection”</vt:lpstr>
    </vt:vector>
  </TitlesOfParts>
  <Company>U.S. EPA, Region 3</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mixed phenols and phenates in disinfectant formulations by Liquid Chromatography with ultra-violet detection”</dc:title>
  <dc:subject>Quats</dc:subject>
  <dc:creator>CIPAC</dc:creator>
  <cp:keywords/>
  <dc:description/>
  <cp:lastModifiedBy>Bruno Patrian</cp:lastModifiedBy>
  <cp:revision>6</cp:revision>
  <cp:lastPrinted>2013-07-10T14:48:00Z</cp:lastPrinted>
  <dcterms:created xsi:type="dcterms:W3CDTF">2014-09-15T18:45:00Z</dcterms:created>
  <dcterms:modified xsi:type="dcterms:W3CDTF">2015-06-21T11:45:00Z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